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F809" w14:textId="77777777" w:rsidR="00DD44C5" w:rsidRPr="00CB7DC7" w:rsidRDefault="00DD44C5" w:rsidP="00CB7DC7">
      <w:pPr>
        <w:ind w:leftChars="0" w:left="0" w:firstLineChars="0" w:firstLine="0"/>
        <w:rPr>
          <w:sz w:val="22"/>
          <w:szCs w:val="22"/>
        </w:rPr>
      </w:pPr>
    </w:p>
    <w:p w14:paraId="450039BA" w14:textId="77777777" w:rsidR="00DD44C5" w:rsidRPr="00CB7DC7" w:rsidRDefault="008B3533">
      <w:pPr>
        <w:ind w:left="0" w:hanging="2"/>
        <w:rPr>
          <w:sz w:val="22"/>
          <w:szCs w:val="22"/>
        </w:rPr>
      </w:pPr>
      <w:r w:rsidRPr="00CB7DC7">
        <w:rPr>
          <w:b/>
          <w:sz w:val="22"/>
          <w:szCs w:val="22"/>
        </w:rPr>
        <w:t>GÖREVİN GEREKTİRDİĞİ NİTELİKLER:</w:t>
      </w:r>
    </w:p>
    <w:p w14:paraId="34B360D9" w14:textId="77777777" w:rsidR="00DD44C5" w:rsidRPr="00CB7DC7" w:rsidRDefault="008B3533">
      <w:pPr>
        <w:ind w:left="0" w:hanging="2"/>
        <w:jc w:val="both"/>
        <w:rPr>
          <w:color w:val="000000"/>
          <w:sz w:val="22"/>
          <w:szCs w:val="22"/>
        </w:rPr>
      </w:pPr>
      <w:r w:rsidRPr="00CB7DC7">
        <w:rPr>
          <w:color w:val="000000"/>
          <w:sz w:val="22"/>
          <w:szCs w:val="22"/>
        </w:rPr>
        <w:t xml:space="preserve">657 </w:t>
      </w:r>
      <w:proofErr w:type="spellStart"/>
      <w:r w:rsidRPr="00CB7DC7">
        <w:rPr>
          <w:color w:val="000000"/>
          <w:sz w:val="22"/>
          <w:szCs w:val="22"/>
        </w:rPr>
        <w:t>Sayılı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Devlet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Memurları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Kanun’unda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belirtilen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genel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niteliklere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sahip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olmak</w:t>
      </w:r>
      <w:proofErr w:type="spellEnd"/>
      <w:r w:rsidRPr="00CB7DC7">
        <w:rPr>
          <w:color w:val="000000"/>
          <w:sz w:val="22"/>
          <w:szCs w:val="22"/>
        </w:rPr>
        <w:t xml:space="preserve">. </w:t>
      </w:r>
      <w:proofErr w:type="spellStart"/>
      <w:r w:rsidRPr="00CB7DC7">
        <w:rPr>
          <w:color w:val="000000"/>
          <w:sz w:val="22"/>
          <w:szCs w:val="22"/>
        </w:rPr>
        <w:t>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az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lise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veya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dengi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okul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mezunu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olmak</w:t>
      </w:r>
      <w:proofErr w:type="spellEnd"/>
      <w:r w:rsidRPr="00CB7DC7">
        <w:rPr>
          <w:color w:val="000000"/>
          <w:sz w:val="22"/>
          <w:szCs w:val="22"/>
        </w:rPr>
        <w:t xml:space="preserve">. </w:t>
      </w:r>
      <w:proofErr w:type="spellStart"/>
      <w:r w:rsidRPr="00CB7DC7">
        <w:rPr>
          <w:color w:val="000000"/>
          <w:sz w:val="22"/>
          <w:szCs w:val="22"/>
        </w:rPr>
        <w:t>Görevini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gereği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gibi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yerine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getirebilmek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için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gerekli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iş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deneyimine</w:t>
      </w:r>
      <w:proofErr w:type="spellEnd"/>
      <w:r w:rsidRPr="00CB7DC7">
        <w:rPr>
          <w:color w:val="000000"/>
          <w:sz w:val="22"/>
          <w:szCs w:val="22"/>
        </w:rPr>
        <w:t xml:space="preserve"> (</w:t>
      </w:r>
      <w:proofErr w:type="spellStart"/>
      <w:r w:rsidRPr="00CB7DC7">
        <w:rPr>
          <w:color w:val="000000"/>
          <w:sz w:val="22"/>
          <w:szCs w:val="22"/>
        </w:rPr>
        <w:t>hizmet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içi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eğitime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katılmış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olmak</w:t>
      </w:r>
      <w:proofErr w:type="spellEnd"/>
      <w:r w:rsidRPr="00CB7DC7">
        <w:rPr>
          <w:color w:val="000000"/>
          <w:sz w:val="22"/>
          <w:szCs w:val="22"/>
        </w:rPr>
        <w:t xml:space="preserve">) </w:t>
      </w:r>
      <w:proofErr w:type="spellStart"/>
      <w:r w:rsidRPr="00CB7DC7">
        <w:rPr>
          <w:color w:val="000000"/>
          <w:sz w:val="22"/>
          <w:szCs w:val="22"/>
        </w:rPr>
        <w:t>sahip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olmak</w:t>
      </w:r>
      <w:proofErr w:type="spellEnd"/>
      <w:r w:rsidRPr="00CB7DC7">
        <w:rPr>
          <w:color w:val="000000"/>
          <w:sz w:val="22"/>
          <w:szCs w:val="22"/>
        </w:rPr>
        <w:t>.</w:t>
      </w:r>
    </w:p>
    <w:p w14:paraId="60973B39" w14:textId="77777777" w:rsidR="00DD44C5" w:rsidRPr="00CB7DC7" w:rsidRDefault="00DD44C5">
      <w:pPr>
        <w:ind w:left="0" w:hanging="2"/>
        <w:rPr>
          <w:rFonts w:eastAsia="Arimo"/>
          <w:color w:val="3B3838"/>
          <w:sz w:val="22"/>
          <w:szCs w:val="22"/>
        </w:rPr>
      </w:pPr>
    </w:p>
    <w:p w14:paraId="24C7E41B" w14:textId="77777777" w:rsidR="00DD44C5" w:rsidRPr="00CB7DC7" w:rsidRDefault="008B3533">
      <w:pPr>
        <w:shd w:val="clear" w:color="auto" w:fill="C0C0C0"/>
        <w:ind w:left="0" w:hanging="2"/>
        <w:rPr>
          <w:sz w:val="22"/>
          <w:szCs w:val="22"/>
        </w:rPr>
      </w:pPr>
      <w:r w:rsidRPr="00CB7DC7">
        <w:rPr>
          <w:b/>
          <w:sz w:val="22"/>
          <w:szCs w:val="22"/>
        </w:rPr>
        <w:t>BAĞLI OLDUĞU EN YAKIN AMİRİ:</w:t>
      </w:r>
    </w:p>
    <w:p w14:paraId="2386B6F4" w14:textId="1447AC09" w:rsidR="00DD44C5" w:rsidRPr="00CB7DC7" w:rsidRDefault="008B3533">
      <w:pPr>
        <w:ind w:left="0" w:hanging="2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Fakülte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Sekreteri</w:t>
      </w:r>
      <w:proofErr w:type="spellEnd"/>
      <w:r w:rsidRPr="00CB7DC7">
        <w:rPr>
          <w:color w:val="000000"/>
          <w:sz w:val="22"/>
          <w:szCs w:val="22"/>
        </w:rPr>
        <w:t>/</w:t>
      </w:r>
      <w:proofErr w:type="spellStart"/>
      <w:r w:rsidRPr="00CB7DC7">
        <w:rPr>
          <w:color w:val="000000"/>
          <w:sz w:val="22"/>
          <w:szCs w:val="22"/>
        </w:rPr>
        <w:t>Dekan</w:t>
      </w:r>
      <w:proofErr w:type="spellEnd"/>
    </w:p>
    <w:p w14:paraId="02256BA3" w14:textId="77777777" w:rsidR="00DD44C5" w:rsidRPr="00CB7DC7" w:rsidRDefault="00DD44C5">
      <w:pPr>
        <w:ind w:left="0" w:hanging="2"/>
        <w:rPr>
          <w:color w:val="000000"/>
          <w:sz w:val="22"/>
          <w:szCs w:val="22"/>
        </w:rPr>
      </w:pPr>
    </w:p>
    <w:p w14:paraId="709EFA25" w14:textId="77777777" w:rsidR="00DD44C5" w:rsidRPr="00CB7DC7" w:rsidRDefault="008B3533">
      <w:pPr>
        <w:shd w:val="clear" w:color="auto" w:fill="CCCCCC"/>
        <w:ind w:left="0" w:hanging="2"/>
        <w:rPr>
          <w:sz w:val="22"/>
          <w:szCs w:val="22"/>
        </w:rPr>
      </w:pPr>
      <w:r w:rsidRPr="00CB7DC7">
        <w:rPr>
          <w:b/>
          <w:sz w:val="22"/>
          <w:szCs w:val="22"/>
        </w:rPr>
        <w:t>EN YAKIN GÖZETİMİ VE DENETİMİ ALTINDAKİ PERSONEL:</w:t>
      </w:r>
    </w:p>
    <w:p w14:paraId="1DEF448C" w14:textId="77777777" w:rsidR="00DD44C5" w:rsidRPr="00CB7DC7" w:rsidRDefault="00DD44C5">
      <w:pPr>
        <w:ind w:left="0" w:hanging="2"/>
        <w:rPr>
          <w:sz w:val="22"/>
          <w:szCs w:val="22"/>
        </w:rPr>
      </w:pPr>
    </w:p>
    <w:p w14:paraId="7F257703" w14:textId="77777777" w:rsidR="00DD44C5" w:rsidRPr="00CB7DC7" w:rsidRDefault="00DD44C5">
      <w:pPr>
        <w:ind w:left="0" w:hanging="2"/>
        <w:rPr>
          <w:sz w:val="22"/>
          <w:szCs w:val="22"/>
        </w:rPr>
      </w:pPr>
    </w:p>
    <w:p w14:paraId="5B53AB38" w14:textId="77777777" w:rsidR="00DD44C5" w:rsidRPr="00CB7DC7" w:rsidRDefault="008B3533">
      <w:pPr>
        <w:shd w:val="clear" w:color="auto" w:fill="CCCCCC"/>
        <w:spacing w:line="360" w:lineRule="auto"/>
        <w:ind w:left="0" w:hanging="2"/>
        <w:jc w:val="both"/>
        <w:rPr>
          <w:rFonts w:eastAsia="Times New Roman"/>
          <w:sz w:val="22"/>
          <w:szCs w:val="22"/>
        </w:rPr>
      </w:pPr>
      <w:r w:rsidRPr="00CB7DC7">
        <w:rPr>
          <w:b/>
          <w:sz w:val="22"/>
          <w:szCs w:val="22"/>
        </w:rPr>
        <w:t>GÖR</w:t>
      </w:r>
      <w:r w:rsidRPr="00CB7DC7">
        <w:rPr>
          <w:rFonts w:eastAsia="Times New Roman"/>
          <w:b/>
          <w:sz w:val="22"/>
          <w:szCs w:val="22"/>
        </w:rPr>
        <w:t>EV VE SORUMLULUKLARI:</w:t>
      </w:r>
    </w:p>
    <w:p w14:paraId="33DC6A5F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görüşme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kabullerine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ait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hizmetleri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yürütmek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29E98EFD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özel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resmi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haberleşmelerini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yerine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getirmek</w:t>
      </w:r>
      <w:proofErr w:type="spellEnd"/>
    </w:p>
    <w:p w14:paraId="001F368A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içi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dışı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randevu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isteklerini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düzenlemek</w:t>
      </w:r>
      <w:proofErr w:type="spellEnd"/>
    </w:p>
    <w:p w14:paraId="487BE934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ıslak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imza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gerektiren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yazışmalarının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çıktılarını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alıp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imzalatıp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ilgili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büroya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göndermek</w:t>
      </w:r>
      <w:proofErr w:type="spellEnd"/>
    </w:p>
    <w:p w14:paraId="54AE5C03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r w:rsidRPr="00CB7DC7">
        <w:rPr>
          <w:color w:val="000000"/>
          <w:sz w:val="22"/>
          <w:szCs w:val="22"/>
        </w:rPr>
        <w:t xml:space="preserve">Yeni </w:t>
      </w:r>
      <w:proofErr w:type="spellStart"/>
      <w:r w:rsidRPr="00CB7DC7">
        <w:rPr>
          <w:color w:val="000000"/>
          <w:sz w:val="22"/>
          <w:szCs w:val="22"/>
        </w:rPr>
        <w:t>yıl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mezuniyet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töreni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dinî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millî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bayramlarda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tebrik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mesajlarını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hazırlar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dağıtımını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sağlamak</w:t>
      </w:r>
      <w:proofErr w:type="spellEnd"/>
    </w:p>
    <w:p w14:paraId="400CCB70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Mezuniyet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töreni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programına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yardımcı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olmak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tüm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davetiye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duyuru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işlerini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yapmak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45E55430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Dekanlığın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görev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alanı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ilgili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vereceği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diğer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işleri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yapmak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09DBA0BD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Dekanlığın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özel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haberleşme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gizlilik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taşıyan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yazışma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işlerini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yürütmek</w:t>
      </w:r>
      <w:proofErr w:type="spellEnd"/>
    </w:p>
    <w:p w14:paraId="49B22A55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Dekanlığın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özel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kurumsal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dosyalarını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tutmak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arşivlemek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530ED725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Fakültenin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tüm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birimlerinin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kişilerin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faks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iletilerinin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gönderimi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gelen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iletilerini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yerine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ulaştırmak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7B607F3A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Fakülte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Bölümlerinin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düzenlediği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İşveren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Toplantılarının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iletişim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haberleşme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toplantı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organizasyonlarını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yapmak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</w:p>
    <w:p w14:paraId="3FFDDDA4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Dekanlık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Makamına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gelen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misafirleri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ağırlamak</w:t>
      </w:r>
      <w:proofErr w:type="spellEnd"/>
    </w:p>
    <w:p w14:paraId="092CA2F1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Üniversite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Yönetim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Kurulu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Senato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Fakülte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Kurulu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Fakülte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Yönetim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Kurulu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gibi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önemli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toplantıları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Dekana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hatırlatmak</w:t>
      </w:r>
      <w:proofErr w:type="spellEnd"/>
    </w:p>
    <w:p w14:paraId="10739A2C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Kurul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toplantı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Dekan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odalarının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bakım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temizliğini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denetlemek</w:t>
      </w:r>
      <w:proofErr w:type="spellEnd"/>
      <w:r w:rsidRPr="00CB7DC7">
        <w:rPr>
          <w:color w:val="000000"/>
          <w:sz w:val="22"/>
          <w:szCs w:val="22"/>
        </w:rPr>
        <w:t xml:space="preserve">, </w:t>
      </w:r>
      <w:proofErr w:type="spellStart"/>
      <w:r w:rsidRPr="00CB7DC7">
        <w:rPr>
          <w:color w:val="000000"/>
          <w:sz w:val="22"/>
          <w:szCs w:val="22"/>
        </w:rPr>
        <w:t>varsa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sorunları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gidermek</w:t>
      </w:r>
      <w:proofErr w:type="spellEnd"/>
    </w:p>
    <w:p w14:paraId="3DEE3A50" w14:textId="77777777" w:rsidR="00DD44C5" w:rsidRPr="00CB7DC7" w:rsidRDefault="008B3533" w:rsidP="00CB7DC7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color w:val="000000"/>
          <w:sz w:val="22"/>
          <w:szCs w:val="22"/>
        </w:rPr>
      </w:pPr>
      <w:proofErr w:type="spellStart"/>
      <w:r w:rsidRPr="00CB7DC7">
        <w:rPr>
          <w:color w:val="000000"/>
          <w:sz w:val="22"/>
          <w:szCs w:val="22"/>
        </w:rPr>
        <w:t>Dekanın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Fakülte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Sekreterinin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vereceği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diğer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görevleri</w:t>
      </w:r>
      <w:proofErr w:type="spellEnd"/>
      <w:r w:rsidRPr="00CB7DC7">
        <w:rPr>
          <w:color w:val="000000"/>
          <w:sz w:val="22"/>
          <w:szCs w:val="22"/>
        </w:rPr>
        <w:t xml:space="preserve"> </w:t>
      </w:r>
      <w:proofErr w:type="spellStart"/>
      <w:r w:rsidRPr="00CB7DC7">
        <w:rPr>
          <w:color w:val="000000"/>
          <w:sz w:val="22"/>
          <w:szCs w:val="22"/>
        </w:rPr>
        <w:t>yapmak</w:t>
      </w:r>
      <w:proofErr w:type="spellEnd"/>
    </w:p>
    <w:p w14:paraId="773FEEF8" w14:textId="77777777" w:rsidR="00DD44C5" w:rsidRPr="00CB7DC7" w:rsidRDefault="00DD44C5">
      <w:pPr>
        <w:ind w:left="0" w:hanging="2"/>
        <w:rPr>
          <w:color w:val="000000"/>
          <w:sz w:val="22"/>
          <w:szCs w:val="22"/>
        </w:rPr>
      </w:pPr>
    </w:p>
    <w:p w14:paraId="6ABF8D1D" w14:textId="77777777" w:rsidR="00DD44C5" w:rsidRPr="00CB7DC7" w:rsidRDefault="008B3533">
      <w:pPr>
        <w:shd w:val="clear" w:color="auto" w:fill="B3B3B3"/>
        <w:ind w:left="0" w:hanging="2"/>
        <w:jc w:val="both"/>
        <w:rPr>
          <w:sz w:val="22"/>
          <w:szCs w:val="22"/>
        </w:rPr>
      </w:pPr>
      <w:r w:rsidRPr="00CB7DC7">
        <w:rPr>
          <w:b/>
          <w:sz w:val="22"/>
          <w:szCs w:val="22"/>
          <w:shd w:val="clear" w:color="auto" w:fill="B3B3B3"/>
        </w:rPr>
        <w:t>YETKİL</w:t>
      </w:r>
      <w:r w:rsidRPr="00CB7DC7">
        <w:rPr>
          <w:b/>
          <w:sz w:val="22"/>
          <w:szCs w:val="22"/>
        </w:rPr>
        <w:t xml:space="preserve">ERİ, SINIRLARI: </w:t>
      </w:r>
    </w:p>
    <w:p w14:paraId="51957676" w14:textId="77777777" w:rsidR="00DD44C5" w:rsidRPr="00CB7DC7" w:rsidRDefault="008B3533" w:rsidP="00CB7DC7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 w:rsidRPr="00CB7DC7">
        <w:rPr>
          <w:sz w:val="22"/>
          <w:szCs w:val="22"/>
        </w:rPr>
        <w:t>Görevlerini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YÖK</w:t>
      </w:r>
      <w:proofErr w:type="spellEnd"/>
      <w:r w:rsidRPr="00CB7DC7">
        <w:rPr>
          <w:sz w:val="22"/>
          <w:szCs w:val="22"/>
        </w:rPr>
        <w:t xml:space="preserve">, 657 </w:t>
      </w:r>
      <w:proofErr w:type="spellStart"/>
      <w:r w:rsidRPr="00CB7DC7">
        <w:rPr>
          <w:sz w:val="22"/>
          <w:szCs w:val="22"/>
        </w:rPr>
        <w:t>sayılı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DMK</w:t>
      </w:r>
      <w:proofErr w:type="spellEnd"/>
      <w:r w:rsidRPr="00CB7DC7">
        <w:rPr>
          <w:sz w:val="22"/>
          <w:szCs w:val="22"/>
        </w:rPr>
        <w:t xml:space="preserve">, 2547 </w:t>
      </w:r>
      <w:proofErr w:type="spellStart"/>
      <w:r w:rsidRPr="00CB7DC7">
        <w:rPr>
          <w:sz w:val="22"/>
          <w:szCs w:val="22"/>
        </w:rPr>
        <w:t>sayılı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Yükseköğretim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Kanunu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Bayburt </w:t>
      </w:r>
      <w:proofErr w:type="spellStart"/>
      <w:r w:rsidRPr="00CB7DC7">
        <w:rPr>
          <w:sz w:val="22"/>
          <w:szCs w:val="22"/>
        </w:rPr>
        <w:t>Üniversitesinin</w:t>
      </w:r>
      <w:proofErr w:type="spellEnd"/>
      <w:r w:rsidRPr="00CB7DC7">
        <w:rPr>
          <w:sz w:val="22"/>
          <w:szCs w:val="22"/>
        </w:rPr>
        <w:t xml:space="preserve"> tabi </w:t>
      </w:r>
      <w:proofErr w:type="spellStart"/>
      <w:r w:rsidRPr="00CB7DC7">
        <w:rPr>
          <w:sz w:val="22"/>
          <w:szCs w:val="22"/>
        </w:rPr>
        <w:t>olduğu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diğer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mevzuata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göre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yerine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getirir</w:t>
      </w:r>
      <w:proofErr w:type="spellEnd"/>
      <w:r w:rsidRPr="00CB7DC7">
        <w:rPr>
          <w:sz w:val="22"/>
          <w:szCs w:val="22"/>
        </w:rPr>
        <w:t xml:space="preserve">. </w:t>
      </w:r>
    </w:p>
    <w:p w14:paraId="6DEE8067" w14:textId="77777777" w:rsidR="00DD44C5" w:rsidRPr="00CB7DC7" w:rsidRDefault="008B3533" w:rsidP="00CB7DC7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 w:rsidRPr="00CB7DC7">
        <w:rPr>
          <w:sz w:val="22"/>
          <w:szCs w:val="22"/>
        </w:rPr>
        <w:t>Görevlerini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mevzuat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hükümleri</w:t>
      </w:r>
      <w:proofErr w:type="spellEnd"/>
      <w:r w:rsidRPr="00CB7DC7">
        <w:rPr>
          <w:sz w:val="22"/>
          <w:szCs w:val="22"/>
        </w:rPr>
        <w:t xml:space="preserve">, plan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programlar</w:t>
      </w:r>
      <w:proofErr w:type="spellEnd"/>
      <w:r w:rsidRPr="00CB7DC7">
        <w:rPr>
          <w:sz w:val="22"/>
          <w:szCs w:val="22"/>
        </w:rPr>
        <w:t xml:space="preserve">, </w:t>
      </w:r>
      <w:proofErr w:type="spellStart"/>
      <w:r w:rsidRPr="00CB7DC7">
        <w:rPr>
          <w:sz w:val="22"/>
          <w:szCs w:val="22"/>
        </w:rPr>
        <w:t>genel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prensipler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verilen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direktifler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doğrultusunda</w:t>
      </w:r>
      <w:proofErr w:type="spellEnd"/>
      <w:r w:rsidRPr="00CB7DC7">
        <w:rPr>
          <w:sz w:val="22"/>
          <w:szCs w:val="22"/>
        </w:rPr>
        <w:t xml:space="preserve"> tam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zamanında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yerine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getirmekle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yükümlüdür</w:t>
      </w:r>
      <w:proofErr w:type="spellEnd"/>
      <w:r w:rsidRPr="00CB7DC7">
        <w:rPr>
          <w:sz w:val="22"/>
          <w:szCs w:val="22"/>
        </w:rPr>
        <w:t xml:space="preserve">. </w:t>
      </w:r>
    </w:p>
    <w:p w14:paraId="71C0F310" w14:textId="77777777" w:rsidR="00DD44C5" w:rsidRPr="00CB7DC7" w:rsidRDefault="008B3533" w:rsidP="00CB7DC7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 w:rsidRPr="00CB7DC7">
        <w:rPr>
          <w:sz w:val="22"/>
          <w:szCs w:val="22"/>
        </w:rPr>
        <w:t>Yukarıda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belirtilen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görev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sorumlulukları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gerçekleştirme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yetkisine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sahip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olmak</w:t>
      </w:r>
      <w:proofErr w:type="spellEnd"/>
      <w:r w:rsidRPr="00CB7DC7">
        <w:rPr>
          <w:sz w:val="22"/>
          <w:szCs w:val="22"/>
        </w:rPr>
        <w:t xml:space="preserve">. </w:t>
      </w:r>
      <w:proofErr w:type="spellStart"/>
      <w:r w:rsidRPr="00CB7DC7">
        <w:rPr>
          <w:sz w:val="22"/>
          <w:szCs w:val="22"/>
        </w:rPr>
        <w:t>Faaliyetlerinin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gerektirdiği</w:t>
      </w:r>
      <w:proofErr w:type="spellEnd"/>
      <w:r w:rsidRPr="00CB7DC7">
        <w:rPr>
          <w:sz w:val="22"/>
          <w:szCs w:val="22"/>
        </w:rPr>
        <w:t xml:space="preserve"> her </w:t>
      </w:r>
      <w:proofErr w:type="spellStart"/>
      <w:r w:rsidRPr="00CB7DC7">
        <w:rPr>
          <w:sz w:val="22"/>
          <w:szCs w:val="22"/>
        </w:rPr>
        <w:t>türlü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araç</w:t>
      </w:r>
      <w:proofErr w:type="spellEnd"/>
      <w:r w:rsidRPr="00CB7DC7">
        <w:rPr>
          <w:sz w:val="22"/>
          <w:szCs w:val="22"/>
        </w:rPr>
        <w:t xml:space="preserve">, </w:t>
      </w:r>
      <w:proofErr w:type="spellStart"/>
      <w:r w:rsidRPr="00CB7DC7">
        <w:rPr>
          <w:sz w:val="22"/>
          <w:szCs w:val="22"/>
        </w:rPr>
        <w:t>gereç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malzemeyi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kullanabilmek</w:t>
      </w:r>
      <w:proofErr w:type="spellEnd"/>
      <w:r w:rsidRPr="00CB7DC7">
        <w:rPr>
          <w:sz w:val="22"/>
          <w:szCs w:val="22"/>
        </w:rPr>
        <w:t xml:space="preserve">. </w:t>
      </w:r>
    </w:p>
    <w:p w14:paraId="1239B290" w14:textId="77777777" w:rsidR="00DD44C5" w:rsidRPr="00CB7DC7" w:rsidRDefault="008B3533" w:rsidP="00CB7DC7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 w:rsidRPr="00CB7DC7">
        <w:rPr>
          <w:sz w:val="22"/>
          <w:szCs w:val="22"/>
        </w:rPr>
        <w:t>Görevini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yerine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getirirken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ve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yetkilerini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kullanırken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sonuçlarından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dolayı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amirlerine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karşı</w:t>
      </w:r>
      <w:proofErr w:type="spellEnd"/>
      <w:r w:rsidRPr="00CB7DC7">
        <w:rPr>
          <w:sz w:val="22"/>
          <w:szCs w:val="22"/>
        </w:rPr>
        <w:t xml:space="preserve"> </w:t>
      </w:r>
      <w:proofErr w:type="spellStart"/>
      <w:r w:rsidRPr="00CB7DC7">
        <w:rPr>
          <w:sz w:val="22"/>
          <w:szCs w:val="22"/>
        </w:rPr>
        <w:t>sorumludur</w:t>
      </w:r>
      <w:proofErr w:type="spellEnd"/>
      <w:r w:rsidRPr="00CB7DC7">
        <w:rPr>
          <w:sz w:val="22"/>
          <w:szCs w:val="22"/>
        </w:rPr>
        <w:t>.</w:t>
      </w:r>
    </w:p>
    <w:p w14:paraId="4A83FAA1" w14:textId="77777777" w:rsidR="00DD44C5" w:rsidRPr="00CB7DC7" w:rsidRDefault="00DD44C5">
      <w:pPr>
        <w:ind w:left="0" w:hanging="2"/>
        <w:rPr>
          <w:sz w:val="22"/>
          <w:szCs w:val="22"/>
        </w:rPr>
      </w:pPr>
    </w:p>
    <w:sectPr w:rsidR="00DD44C5" w:rsidRPr="00CB7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B9AC" w14:textId="77777777" w:rsidR="00EA1257" w:rsidRDefault="00EA1257">
      <w:pPr>
        <w:spacing w:line="240" w:lineRule="auto"/>
        <w:ind w:left="0" w:hanging="2"/>
      </w:pPr>
      <w:r>
        <w:separator/>
      </w:r>
    </w:p>
  </w:endnote>
  <w:endnote w:type="continuationSeparator" w:id="0">
    <w:p w14:paraId="5238CB58" w14:textId="77777777" w:rsidR="00EA1257" w:rsidRDefault="00EA12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0252" w14:textId="77777777" w:rsidR="00DD44C5" w:rsidRDefault="00DD44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E855" w14:textId="77777777" w:rsidR="00DD44C5" w:rsidRDefault="00DD44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DD44C5" w14:paraId="66DA79AB" w14:textId="77777777">
      <w:trPr>
        <w:trHeight w:val="523"/>
      </w:trPr>
      <w:tc>
        <w:tcPr>
          <w:tcW w:w="5200" w:type="dxa"/>
        </w:tcPr>
        <w:p w14:paraId="1888FC51" w14:textId="740EE872" w:rsidR="00DD44C5" w:rsidRDefault="008B353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5A44776E" w14:textId="0F48A51A" w:rsidR="00DD44C5" w:rsidRDefault="00323EFE" w:rsidP="00323EF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İF KE</w:t>
          </w:r>
        </w:p>
        <w:p w14:paraId="0FA6A628" w14:textId="77777777" w:rsidR="00DD44C5" w:rsidRDefault="00DD44C5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2EE209EF" w14:textId="77777777" w:rsidR="00DD44C5" w:rsidRDefault="008B3533">
          <w:pPr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0741154A" w14:textId="6D410FFA" w:rsidR="00323EFE" w:rsidRDefault="00323EFE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DEKAN</w:t>
          </w:r>
        </w:p>
      </w:tc>
    </w:tr>
  </w:tbl>
  <w:p w14:paraId="667A8164" w14:textId="77777777" w:rsidR="00DD44C5" w:rsidRDefault="008B3533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44E" w14:textId="77777777" w:rsidR="00DD44C5" w:rsidRDefault="00DD44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1C24" w14:textId="77777777" w:rsidR="00EA1257" w:rsidRDefault="00EA1257">
      <w:pPr>
        <w:spacing w:line="240" w:lineRule="auto"/>
        <w:ind w:left="0" w:hanging="2"/>
      </w:pPr>
      <w:r>
        <w:separator/>
      </w:r>
    </w:p>
  </w:footnote>
  <w:footnote w:type="continuationSeparator" w:id="0">
    <w:p w14:paraId="74360136" w14:textId="77777777" w:rsidR="00EA1257" w:rsidRDefault="00EA12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A39" w14:textId="77777777" w:rsidR="00DD44C5" w:rsidRDefault="00DD44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3892" w14:textId="77777777" w:rsidR="00DD44C5" w:rsidRDefault="00DD44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DD44C5" w14:paraId="42128244" w14:textId="77777777">
      <w:trPr>
        <w:cantSplit/>
        <w:trHeight w:val="390"/>
      </w:trPr>
      <w:tc>
        <w:tcPr>
          <w:tcW w:w="1676" w:type="dxa"/>
          <w:vMerge w:val="restart"/>
        </w:tcPr>
        <w:p w14:paraId="08B31BB9" w14:textId="77777777" w:rsidR="00DD44C5" w:rsidRDefault="008B3533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0C495CAC" wp14:editId="7574EF66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A3B4426" w14:textId="77777777" w:rsidR="00DD44C5" w:rsidRDefault="008B3533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7DDAA7A8" w14:textId="77777777" w:rsidR="00CB7DC7" w:rsidRDefault="008B3533">
          <w:pPr>
            <w:ind w:left="1" w:hanging="3"/>
            <w:jc w:val="center"/>
            <w:rPr>
              <w:sz w:val="28"/>
              <w:szCs w:val="28"/>
            </w:rPr>
          </w:pPr>
          <w:r w:rsidRPr="00CB7DC7">
            <w:rPr>
              <w:b/>
              <w:sz w:val="28"/>
              <w:szCs w:val="28"/>
            </w:rPr>
            <w:t>DEKAN SEKRETERİ</w:t>
          </w:r>
          <w:r w:rsidRPr="00CB7DC7">
            <w:rPr>
              <w:sz w:val="28"/>
              <w:szCs w:val="28"/>
            </w:rPr>
            <w:t xml:space="preserve"> </w:t>
          </w:r>
        </w:p>
        <w:p w14:paraId="2EB24BA2" w14:textId="1FE0604A" w:rsidR="00DD44C5" w:rsidRPr="00CB7DC7" w:rsidRDefault="008B3533">
          <w:pPr>
            <w:ind w:left="1" w:hanging="3"/>
            <w:jc w:val="center"/>
            <w:rPr>
              <w:sz w:val="28"/>
              <w:szCs w:val="28"/>
            </w:rPr>
          </w:pPr>
          <w:r w:rsidRPr="00CB7DC7">
            <w:rPr>
              <w:b/>
              <w:sz w:val="28"/>
              <w:szCs w:val="28"/>
            </w:rPr>
            <w:t>GÖREV TANIMI</w:t>
          </w:r>
        </w:p>
        <w:p w14:paraId="090C59ED" w14:textId="77777777" w:rsidR="00DD44C5" w:rsidRDefault="008B353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</w:t>
          </w:r>
        </w:p>
      </w:tc>
      <w:tc>
        <w:tcPr>
          <w:tcW w:w="3131" w:type="dxa"/>
          <w:vAlign w:val="center"/>
        </w:tcPr>
        <w:p w14:paraId="39E284EE" w14:textId="77777777" w:rsidR="00DD44C5" w:rsidRDefault="008B3533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GT11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DD44C5" w14:paraId="597F64A3" w14:textId="77777777">
      <w:trPr>
        <w:cantSplit/>
        <w:trHeight w:val="390"/>
      </w:trPr>
      <w:tc>
        <w:tcPr>
          <w:tcW w:w="1676" w:type="dxa"/>
          <w:vMerge/>
        </w:tcPr>
        <w:p w14:paraId="5B1C4271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62DDDC9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08A26813" w14:textId="77777777" w:rsidR="00DD44C5" w:rsidRDefault="008B3533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DD44C5" w14:paraId="5F31C809" w14:textId="77777777">
      <w:trPr>
        <w:cantSplit/>
        <w:trHeight w:val="390"/>
      </w:trPr>
      <w:tc>
        <w:tcPr>
          <w:tcW w:w="1676" w:type="dxa"/>
          <w:vMerge/>
        </w:tcPr>
        <w:p w14:paraId="0744A2DA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6F282C4E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7338A57E" w14:textId="77777777" w:rsidR="00DD44C5" w:rsidRDefault="008B3533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13.06.2023/01</w:t>
          </w:r>
        </w:p>
      </w:tc>
    </w:tr>
    <w:tr w:rsidR="00DD44C5" w14:paraId="6BB59F20" w14:textId="77777777">
      <w:trPr>
        <w:cantSplit/>
        <w:trHeight w:val="390"/>
      </w:trPr>
      <w:tc>
        <w:tcPr>
          <w:tcW w:w="1676" w:type="dxa"/>
          <w:vMerge/>
        </w:tcPr>
        <w:p w14:paraId="13D3E574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431640FF" w14:textId="77777777" w:rsidR="00DD44C5" w:rsidRDefault="00DD44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47C856C5" w14:textId="77777777" w:rsidR="00DD44C5" w:rsidRDefault="008B3533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323EF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323EF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DD44C5" w14:paraId="3C48A32B" w14:textId="77777777">
      <w:trPr>
        <w:cantSplit/>
        <w:trHeight w:val="390"/>
      </w:trPr>
      <w:tc>
        <w:tcPr>
          <w:tcW w:w="1676" w:type="dxa"/>
          <w:vAlign w:val="center"/>
        </w:tcPr>
        <w:p w14:paraId="31A68D7B" w14:textId="77777777" w:rsidR="00DD44C5" w:rsidRDefault="008B3533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5D8E6F17" w14:textId="08A7467C" w:rsidR="00DD44C5" w:rsidRDefault="008B3533">
          <w:pPr>
            <w:ind w:left="0" w:hanging="2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proofErr w:type="spellStart"/>
          <w:r w:rsidR="00CB7DC7">
            <w:rPr>
              <w:sz w:val="22"/>
              <w:szCs w:val="22"/>
            </w:rPr>
            <w:t>İlahiyat</w:t>
          </w:r>
          <w:proofErr w:type="spellEnd"/>
          <w:r w:rsidR="00CB7DC7">
            <w:rPr>
              <w:sz w:val="22"/>
              <w:szCs w:val="22"/>
            </w:rPr>
            <w:t xml:space="preserve"> </w:t>
          </w:r>
          <w:proofErr w:type="spellStart"/>
          <w:r w:rsidR="00CB7DC7">
            <w:rPr>
              <w:sz w:val="22"/>
              <w:szCs w:val="22"/>
            </w:rPr>
            <w:t>Fakültesi</w:t>
          </w:r>
          <w:proofErr w:type="spellEnd"/>
        </w:p>
      </w:tc>
    </w:tr>
  </w:tbl>
  <w:p w14:paraId="49A86BFB" w14:textId="77777777" w:rsidR="00DD44C5" w:rsidRDefault="00DD44C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0B20" w14:textId="77777777" w:rsidR="00DD44C5" w:rsidRDefault="00DD44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843"/>
    <w:multiLevelType w:val="multilevel"/>
    <w:tmpl w:val="229648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3C21AA"/>
    <w:multiLevelType w:val="multilevel"/>
    <w:tmpl w:val="E5CAF2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C5"/>
    <w:rsid w:val="00052476"/>
    <w:rsid w:val="001F59D6"/>
    <w:rsid w:val="00323EFE"/>
    <w:rsid w:val="008B3533"/>
    <w:rsid w:val="009E3015"/>
    <w:rsid w:val="00CB7DC7"/>
    <w:rsid w:val="00DD44C5"/>
    <w:rsid w:val="00E45628"/>
    <w:rsid w:val="00E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D740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ListeParagraf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val="tr-TR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glCyksQZUJlAI7suqcbutPZ2Q==">CgMxLjA4AHIhMXdFZHd6cXZBUDRjQ2hYQzR1Q2MyRVBHZFRkYm5ycXR6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5</cp:revision>
  <dcterms:created xsi:type="dcterms:W3CDTF">2016-06-23T22:52:00Z</dcterms:created>
  <dcterms:modified xsi:type="dcterms:W3CDTF">2024-06-05T07:07:00Z</dcterms:modified>
</cp:coreProperties>
</file>