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790" w14:textId="77777777" w:rsidR="00912EF8" w:rsidRDefault="00033E4E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GÖREVİN GEREKTİRDİĞİ NİTELİKLER:</w:t>
      </w:r>
    </w:p>
    <w:p w14:paraId="55CB7DD8" w14:textId="77777777" w:rsidR="00912EF8" w:rsidRDefault="00033E4E" w:rsidP="00CC661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Kanunu’nda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,</w:t>
      </w:r>
    </w:p>
    <w:p w14:paraId="7AA79996" w14:textId="77777777" w:rsidR="00912EF8" w:rsidRDefault="00033E4E" w:rsidP="00CC661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gerektirdiği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düzeyde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yetkinlik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deneyimine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, </w:t>
      </w:r>
    </w:p>
    <w:p w14:paraId="0ABC12B2" w14:textId="77777777" w:rsidR="00912EF8" w:rsidRDefault="00033E4E" w:rsidP="00CC661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Yöneticilik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sevk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faaliyetlerin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sürdürebilmesi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çözme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</w:p>
    <w:p w14:paraId="6C25EC3C" w14:textId="77777777" w:rsidR="00912EF8" w:rsidRDefault="00912EF8" w:rsidP="00CC6619">
      <w:p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</w:p>
    <w:p w14:paraId="05E4B522" w14:textId="77777777" w:rsidR="00912EF8" w:rsidRDefault="00033E4E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32058C3B" w14:textId="77777777" w:rsidR="00912EF8" w:rsidRDefault="00033E4E">
      <w:pPr>
        <w:ind w:left="0" w:hanging="2"/>
        <w:rPr>
          <w:sz w:val="22"/>
          <w:szCs w:val="22"/>
        </w:rPr>
      </w:pPr>
      <w:r>
        <w:rPr>
          <w:color w:val="767171"/>
          <w:sz w:val="22"/>
          <w:szCs w:val="22"/>
        </w:rPr>
        <w:tab/>
      </w:r>
      <w:r>
        <w:rPr>
          <w:sz w:val="22"/>
          <w:szCs w:val="22"/>
        </w:rPr>
        <w:t>Dekan</w:t>
      </w:r>
    </w:p>
    <w:p w14:paraId="19E173BA" w14:textId="77777777" w:rsidR="00912EF8" w:rsidRDefault="00912EF8">
      <w:pPr>
        <w:ind w:left="0" w:hanging="2"/>
      </w:pPr>
    </w:p>
    <w:p w14:paraId="79215433" w14:textId="77777777" w:rsidR="00912EF8" w:rsidRDefault="00033E4E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0EA81A1F" w14:textId="77777777" w:rsidR="00912EF8" w:rsidRDefault="00033E4E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Sekreteri</w:t>
      </w:r>
      <w:proofErr w:type="spellEnd"/>
    </w:p>
    <w:p w14:paraId="61FED8D2" w14:textId="77777777" w:rsidR="00912EF8" w:rsidRDefault="00033E4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D0EE06" w14:textId="77777777" w:rsidR="00912EF8" w:rsidRDefault="00033E4E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524807B6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305CBF6A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görevi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olmadığı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zamanlarda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vekâlet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.</w:t>
      </w:r>
    </w:p>
    <w:p w14:paraId="7128075E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Altyapının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geliştirilmesi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hizmetleri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dünyası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sanayii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toplumla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ilişkileri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düzenlemek</w:t>
      </w:r>
      <w:proofErr w:type="spellEnd"/>
      <w:r>
        <w:rPr>
          <w:sz w:val="22"/>
          <w:szCs w:val="22"/>
        </w:rPr>
        <w:t>.</w:t>
      </w:r>
    </w:p>
    <w:p w14:paraId="27AF9464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konularda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komisyonlar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komisyon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sonuçlandırılmalarını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.</w:t>
      </w:r>
    </w:p>
    <w:p w14:paraId="15DC81E5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</w:t>
      </w:r>
      <w:proofErr w:type="spellStart"/>
      <w:r>
        <w:rPr>
          <w:sz w:val="22"/>
          <w:szCs w:val="22"/>
        </w:rPr>
        <w:t>türlü</w:t>
      </w:r>
      <w:proofErr w:type="spellEnd"/>
      <w:r>
        <w:rPr>
          <w:sz w:val="22"/>
          <w:szCs w:val="22"/>
        </w:rPr>
        <w:t xml:space="preserve"> burs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ilgilenmek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bunlar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komisyonlara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.</w:t>
      </w:r>
    </w:p>
    <w:p w14:paraId="476FDF32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Çalışma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dersliklerle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belirlenmesi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hazırlıkların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gözden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geçirilmesi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denetlenmesini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.</w:t>
      </w:r>
    </w:p>
    <w:p w14:paraId="29D25310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Bölümler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tarafından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görevlendirmelerinin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denetimini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.</w:t>
      </w:r>
    </w:p>
    <w:p w14:paraId="04C954BF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Laboratuvarlarla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güvenliği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tedbirlerinin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.</w:t>
      </w:r>
    </w:p>
    <w:p w14:paraId="3AC4E540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Başkanlıklarınca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çözüme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kavuşturulamayan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sorunlarını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dinlemek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çözüme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kavuşturmak</w:t>
      </w:r>
      <w:proofErr w:type="spellEnd"/>
      <w:r>
        <w:rPr>
          <w:sz w:val="22"/>
          <w:szCs w:val="22"/>
        </w:rPr>
        <w:t>.</w:t>
      </w:r>
    </w:p>
    <w:p w14:paraId="2E9B9521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kulüplerinin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düzenleyeceği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türlü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etkinliği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gözden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geçirmek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denetlemek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kontrolünü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</w:p>
    <w:p w14:paraId="21B4D467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Sınıf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temsilcileri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temsilcisi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seçimlerini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temsilcilerle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toplantılara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.</w:t>
      </w:r>
    </w:p>
    <w:p w14:paraId="31453CD9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Yeni </w:t>
      </w:r>
      <w:proofErr w:type="spellStart"/>
      <w:r>
        <w:rPr>
          <w:sz w:val="22"/>
          <w:szCs w:val="22"/>
        </w:rPr>
        <w:t>öğrencilerin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oryantasyon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etkinliklerinin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organizasyonunu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.</w:t>
      </w:r>
    </w:p>
    <w:p w14:paraId="483C2AF8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ERASMUS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FARABİ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yararlanmak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isteyen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bölümlerle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koordinasyonu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.</w:t>
      </w:r>
    </w:p>
    <w:p w14:paraId="474959A4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tarafından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düzenlenecek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konferans</w:t>
      </w:r>
      <w:proofErr w:type="spellEnd"/>
      <w:r>
        <w:rPr>
          <w:sz w:val="22"/>
          <w:szCs w:val="22"/>
        </w:rPr>
        <w:t xml:space="preserve">, panel, </w:t>
      </w:r>
      <w:proofErr w:type="spellStart"/>
      <w:r>
        <w:rPr>
          <w:sz w:val="22"/>
          <w:szCs w:val="22"/>
        </w:rPr>
        <w:t>toplantı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sempozyum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seminer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yemek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gezi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etkinlikleri</w:t>
      </w:r>
      <w:proofErr w:type="spellEnd"/>
      <w:r>
        <w:rPr>
          <w:sz w:val="22"/>
          <w:szCs w:val="22"/>
        </w:rPr>
        <w:t xml:space="preserve"> organize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.</w:t>
      </w:r>
    </w:p>
    <w:p w14:paraId="6400B17B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Mezuniyet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töreni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düzenlemek</w:t>
      </w:r>
      <w:proofErr w:type="spellEnd"/>
      <w:r>
        <w:rPr>
          <w:sz w:val="22"/>
          <w:szCs w:val="22"/>
        </w:rPr>
        <w:t>.</w:t>
      </w:r>
    </w:p>
    <w:p w14:paraId="09A5B1C6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Arşiv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istatistik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sağlıklı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yürütülmesini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</w:p>
    <w:p w14:paraId="34A1B699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açılacak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sergileri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stantlar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asılmak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talepleri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incelemek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denetlemek</w:t>
      </w:r>
      <w:proofErr w:type="spellEnd"/>
      <w:r>
        <w:rPr>
          <w:sz w:val="22"/>
          <w:szCs w:val="22"/>
        </w:rPr>
        <w:t>.</w:t>
      </w:r>
    </w:p>
    <w:p w14:paraId="3AE6D1DE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denetlemek</w:t>
      </w:r>
      <w:proofErr w:type="spellEnd"/>
      <w:r>
        <w:rPr>
          <w:sz w:val="22"/>
          <w:szCs w:val="22"/>
        </w:rPr>
        <w:t>.</w:t>
      </w:r>
    </w:p>
    <w:p w14:paraId="440DF3A9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</w:t>
      </w:r>
      <w:proofErr w:type="spellStart"/>
      <w:r>
        <w:rPr>
          <w:sz w:val="22"/>
          <w:szCs w:val="22"/>
        </w:rPr>
        <w:t>türlü</w:t>
      </w:r>
      <w:proofErr w:type="spellEnd"/>
      <w:r>
        <w:rPr>
          <w:sz w:val="22"/>
          <w:szCs w:val="22"/>
        </w:rPr>
        <w:t xml:space="preserve"> burs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ilgilenmek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bunlar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komisyonlara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.</w:t>
      </w:r>
    </w:p>
    <w:p w14:paraId="66497535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Yıllık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Faaliyet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Raporlarının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stratejik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planların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uyum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eylem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denetiminin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</w:p>
    <w:p w14:paraId="2B2251CA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Çalışma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ortamında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sağlığı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güvenliği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hususların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uygulanması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uyarıları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</w:p>
    <w:p w14:paraId="5EA87C8F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Kalite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00BF736A" w14:textId="77777777" w:rsidR="00912EF8" w:rsidRDefault="00033E4E" w:rsidP="00CC661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yöneticileri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tarafından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yapmaktır</w:t>
      </w:r>
      <w:proofErr w:type="spellEnd"/>
      <w:r>
        <w:rPr>
          <w:sz w:val="22"/>
          <w:szCs w:val="22"/>
        </w:rPr>
        <w:t>.</w:t>
      </w:r>
    </w:p>
    <w:p w14:paraId="4BBB477B" w14:textId="77777777" w:rsidR="00912EF8" w:rsidRDefault="00912EF8" w:rsidP="00CC6619">
      <w:p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</w:p>
    <w:p w14:paraId="6AB20656" w14:textId="77777777" w:rsidR="00912EF8" w:rsidRDefault="00912EF8">
      <w:pPr>
        <w:ind w:left="0" w:hanging="2"/>
        <w:jc w:val="both"/>
        <w:rPr>
          <w:sz w:val="22"/>
          <w:szCs w:val="22"/>
        </w:rPr>
      </w:pPr>
    </w:p>
    <w:p w14:paraId="4AA9EF94" w14:textId="77777777" w:rsidR="00912EF8" w:rsidRDefault="00033E4E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7458CE8A" w14:textId="77777777" w:rsidR="00912EF8" w:rsidRDefault="00033E4E" w:rsidP="00CC6619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Yükseköğretim-YÖK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2914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124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Kuruluşları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Teşkilatı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Kanun </w:t>
      </w:r>
      <w:proofErr w:type="spellStart"/>
      <w:r>
        <w:rPr>
          <w:sz w:val="22"/>
          <w:szCs w:val="22"/>
        </w:rPr>
        <w:t>Hükmünde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Kararname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Üniversitelerde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Teşkilât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Yönetmeliği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Memurları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Disiplin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Bayburt </w:t>
      </w:r>
      <w:proofErr w:type="spellStart"/>
      <w:r>
        <w:rPr>
          <w:sz w:val="22"/>
          <w:szCs w:val="22"/>
        </w:rPr>
        <w:t>Üniversitesi’nin</w:t>
      </w:r>
      <w:proofErr w:type="spellEnd"/>
      <w:r>
        <w:rPr>
          <w:sz w:val="22"/>
          <w:szCs w:val="22"/>
        </w:rPr>
        <w:t xml:space="preserve"> tabi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</w:t>
      </w:r>
      <w:proofErr w:type="spellEnd"/>
      <w:r>
        <w:rPr>
          <w:sz w:val="22"/>
          <w:szCs w:val="22"/>
        </w:rPr>
        <w:t>.</w:t>
      </w:r>
    </w:p>
    <w:p w14:paraId="0DF872CE" w14:textId="77777777" w:rsidR="00912EF8" w:rsidRDefault="00033E4E" w:rsidP="00CC6619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hükümleri</w:t>
      </w:r>
      <w:proofErr w:type="spellEnd"/>
      <w:r>
        <w:rPr>
          <w:sz w:val="22"/>
          <w:szCs w:val="22"/>
        </w:rPr>
        <w:t xml:space="preserve">, plan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prensipler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direktifler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tam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yükümlüdür</w:t>
      </w:r>
      <w:proofErr w:type="spellEnd"/>
      <w:r>
        <w:rPr>
          <w:sz w:val="22"/>
          <w:szCs w:val="22"/>
        </w:rPr>
        <w:t>.</w:t>
      </w:r>
    </w:p>
    <w:p w14:paraId="0F590741" w14:textId="77777777" w:rsidR="00912EF8" w:rsidRDefault="00033E4E" w:rsidP="00CC6619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kullanacağı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açtığı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sonuçlardan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İlahiyat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Dekanı’na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p w14:paraId="657807DA" w14:textId="77777777" w:rsidR="00912EF8" w:rsidRDefault="00912EF8">
      <w:pPr>
        <w:ind w:left="0" w:hanging="2"/>
        <w:rPr>
          <w:sz w:val="22"/>
          <w:szCs w:val="22"/>
        </w:rPr>
      </w:pPr>
    </w:p>
    <w:p w14:paraId="48D21BB9" w14:textId="77777777" w:rsidR="00912EF8" w:rsidRDefault="00912EF8">
      <w:pPr>
        <w:ind w:left="0" w:hanging="2"/>
        <w:rPr>
          <w:sz w:val="22"/>
          <w:szCs w:val="22"/>
        </w:rPr>
      </w:pPr>
    </w:p>
    <w:p w14:paraId="3F7E66C4" w14:textId="77777777" w:rsidR="00912EF8" w:rsidRDefault="00912EF8">
      <w:pPr>
        <w:ind w:left="0" w:hanging="2"/>
        <w:rPr>
          <w:sz w:val="22"/>
          <w:szCs w:val="22"/>
        </w:rPr>
      </w:pPr>
    </w:p>
    <w:p w14:paraId="6F394FE2" w14:textId="77777777" w:rsidR="00912EF8" w:rsidRDefault="00912EF8">
      <w:pPr>
        <w:ind w:left="0" w:hanging="2"/>
        <w:rPr>
          <w:sz w:val="22"/>
          <w:szCs w:val="22"/>
        </w:rPr>
      </w:pPr>
    </w:p>
    <w:p w14:paraId="04BA7369" w14:textId="77777777" w:rsidR="00912EF8" w:rsidRDefault="00912EF8">
      <w:pPr>
        <w:ind w:left="0" w:hanging="2"/>
        <w:rPr>
          <w:sz w:val="22"/>
          <w:szCs w:val="22"/>
        </w:rPr>
      </w:pPr>
    </w:p>
    <w:p w14:paraId="7FEA429B" w14:textId="77777777" w:rsidR="00912EF8" w:rsidRDefault="00912EF8">
      <w:pPr>
        <w:ind w:left="0" w:hanging="2"/>
        <w:rPr>
          <w:sz w:val="22"/>
          <w:szCs w:val="22"/>
        </w:rPr>
      </w:pPr>
    </w:p>
    <w:p w14:paraId="590A2EBD" w14:textId="77777777" w:rsidR="00912EF8" w:rsidRDefault="00912EF8">
      <w:pPr>
        <w:ind w:left="0" w:hanging="2"/>
        <w:rPr>
          <w:sz w:val="22"/>
          <w:szCs w:val="22"/>
        </w:rPr>
      </w:pPr>
    </w:p>
    <w:p w14:paraId="76B0015E" w14:textId="77777777" w:rsidR="00912EF8" w:rsidRDefault="00912EF8">
      <w:pPr>
        <w:ind w:left="0" w:hanging="2"/>
        <w:rPr>
          <w:sz w:val="22"/>
          <w:szCs w:val="22"/>
        </w:rPr>
      </w:pPr>
    </w:p>
    <w:p w14:paraId="593164E3" w14:textId="77777777" w:rsidR="00912EF8" w:rsidRDefault="00912EF8">
      <w:pPr>
        <w:ind w:left="0" w:hanging="2"/>
        <w:rPr>
          <w:sz w:val="22"/>
          <w:szCs w:val="22"/>
        </w:rPr>
      </w:pPr>
    </w:p>
    <w:p w14:paraId="56F84E7A" w14:textId="77777777" w:rsidR="00912EF8" w:rsidRDefault="00912EF8">
      <w:pPr>
        <w:ind w:left="0" w:hanging="2"/>
        <w:rPr>
          <w:sz w:val="22"/>
          <w:szCs w:val="22"/>
        </w:rPr>
      </w:pPr>
    </w:p>
    <w:p w14:paraId="0EE77B62" w14:textId="77777777" w:rsidR="00912EF8" w:rsidRDefault="00912EF8">
      <w:pPr>
        <w:ind w:left="0" w:hanging="2"/>
        <w:rPr>
          <w:sz w:val="22"/>
          <w:szCs w:val="22"/>
        </w:rPr>
      </w:pPr>
    </w:p>
    <w:p w14:paraId="61752901" w14:textId="77777777" w:rsidR="00912EF8" w:rsidRDefault="00912EF8">
      <w:pPr>
        <w:ind w:left="0" w:hanging="2"/>
        <w:rPr>
          <w:sz w:val="22"/>
          <w:szCs w:val="22"/>
        </w:rPr>
      </w:pPr>
    </w:p>
    <w:p w14:paraId="66B2F35D" w14:textId="77777777" w:rsidR="00912EF8" w:rsidRDefault="00912EF8">
      <w:pPr>
        <w:ind w:left="0" w:hanging="2"/>
        <w:rPr>
          <w:sz w:val="22"/>
          <w:szCs w:val="22"/>
        </w:rPr>
      </w:pPr>
    </w:p>
    <w:p w14:paraId="7A2F151E" w14:textId="77777777" w:rsidR="00912EF8" w:rsidRDefault="00912EF8">
      <w:pPr>
        <w:ind w:left="0" w:hanging="2"/>
        <w:rPr>
          <w:sz w:val="22"/>
          <w:szCs w:val="22"/>
        </w:rPr>
      </w:pPr>
    </w:p>
    <w:p w14:paraId="7B4A1409" w14:textId="77777777" w:rsidR="00912EF8" w:rsidRDefault="00912EF8">
      <w:pPr>
        <w:ind w:left="0" w:hanging="2"/>
        <w:rPr>
          <w:sz w:val="22"/>
          <w:szCs w:val="22"/>
        </w:rPr>
      </w:pPr>
    </w:p>
    <w:p w14:paraId="63EF8C16" w14:textId="77777777" w:rsidR="00912EF8" w:rsidRDefault="00912EF8">
      <w:pPr>
        <w:ind w:left="0" w:hanging="2"/>
        <w:rPr>
          <w:sz w:val="22"/>
          <w:szCs w:val="22"/>
        </w:rPr>
      </w:pPr>
    </w:p>
    <w:p w14:paraId="77DE1AB4" w14:textId="77777777" w:rsidR="00912EF8" w:rsidRDefault="00912EF8">
      <w:pPr>
        <w:ind w:left="0" w:hanging="2"/>
        <w:rPr>
          <w:sz w:val="22"/>
          <w:szCs w:val="22"/>
        </w:rPr>
      </w:pPr>
    </w:p>
    <w:p w14:paraId="1EB36F1E" w14:textId="77777777" w:rsidR="00912EF8" w:rsidRDefault="00912EF8">
      <w:pPr>
        <w:ind w:left="0" w:hanging="2"/>
        <w:rPr>
          <w:sz w:val="22"/>
          <w:szCs w:val="22"/>
        </w:rPr>
      </w:pPr>
    </w:p>
    <w:p w14:paraId="64BA91F6" w14:textId="77777777" w:rsidR="00912EF8" w:rsidRDefault="00912EF8">
      <w:pPr>
        <w:ind w:left="0" w:hanging="2"/>
        <w:rPr>
          <w:sz w:val="22"/>
          <w:szCs w:val="22"/>
        </w:rPr>
      </w:pPr>
    </w:p>
    <w:p w14:paraId="647E6FD1" w14:textId="77777777" w:rsidR="00912EF8" w:rsidRDefault="00912EF8">
      <w:pPr>
        <w:ind w:left="0" w:hanging="2"/>
        <w:rPr>
          <w:sz w:val="22"/>
          <w:szCs w:val="22"/>
        </w:rPr>
      </w:pPr>
    </w:p>
    <w:p w14:paraId="6194A2E1" w14:textId="77777777" w:rsidR="00912EF8" w:rsidRDefault="00912EF8">
      <w:pPr>
        <w:tabs>
          <w:tab w:val="left" w:pos="3300"/>
        </w:tabs>
        <w:ind w:left="0" w:hanging="2"/>
        <w:rPr>
          <w:sz w:val="22"/>
          <w:szCs w:val="22"/>
        </w:rPr>
      </w:pPr>
    </w:p>
    <w:sectPr w:rsidR="0091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399F" w14:textId="77777777" w:rsidR="001D2DCC" w:rsidRDefault="001D2DCC">
      <w:pPr>
        <w:spacing w:line="240" w:lineRule="auto"/>
        <w:ind w:left="0" w:hanging="2"/>
      </w:pPr>
      <w:r>
        <w:separator/>
      </w:r>
    </w:p>
  </w:endnote>
  <w:endnote w:type="continuationSeparator" w:id="0">
    <w:p w14:paraId="627B4FDB" w14:textId="77777777" w:rsidR="001D2DCC" w:rsidRDefault="001D2D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808C" w14:textId="77777777" w:rsidR="00912EF8" w:rsidRDefault="00912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63BA" w14:textId="77777777" w:rsidR="00912EF8" w:rsidRDefault="00912E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912EF8" w14:paraId="3E192067" w14:textId="77777777">
      <w:trPr>
        <w:trHeight w:val="523"/>
      </w:trPr>
      <w:tc>
        <w:tcPr>
          <w:tcW w:w="5200" w:type="dxa"/>
        </w:tcPr>
        <w:p w14:paraId="7C28C144" w14:textId="77777777" w:rsidR="00912EF8" w:rsidRDefault="00033E4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428B40B8" w14:textId="77777777" w:rsidR="00912EF8" w:rsidRDefault="00033E4E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İF KE</w:t>
          </w:r>
        </w:p>
        <w:p w14:paraId="733EA5C9" w14:textId="77777777" w:rsidR="00912EF8" w:rsidRDefault="00912EF8">
          <w:pPr>
            <w:ind w:left="0" w:hanging="2"/>
            <w:rPr>
              <w:color w:val="808080"/>
              <w:sz w:val="18"/>
              <w:szCs w:val="18"/>
            </w:rPr>
          </w:pPr>
        </w:p>
        <w:p w14:paraId="456B1325" w14:textId="77777777" w:rsidR="00912EF8" w:rsidRDefault="00912EF8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37CA477C" w14:textId="77777777" w:rsidR="00912EF8" w:rsidRDefault="00033E4E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6625401A" w14:textId="54DE2CAF" w:rsidR="00912EF8" w:rsidRDefault="00033E4E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DEKAN</w:t>
          </w:r>
        </w:p>
      </w:tc>
    </w:tr>
  </w:tbl>
  <w:p w14:paraId="64FCEC07" w14:textId="77777777" w:rsidR="00912EF8" w:rsidRDefault="00033E4E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6C3C" w14:textId="77777777" w:rsidR="00912EF8" w:rsidRDefault="00912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6B5C" w14:textId="77777777" w:rsidR="001D2DCC" w:rsidRDefault="001D2DCC">
      <w:pPr>
        <w:spacing w:line="240" w:lineRule="auto"/>
        <w:ind w:left="0" w:hanging="2"/>
      </w:pPr>
      <w:r>
        <w:separator/>
      </w:r>
    </w:p>
  </w:footnote>
  <w:footnote w:type="continuationSeparator" w:id="0">
    <w:p w14:paraId="5FB94397" w14:textId="77777777" w:rsidR="001D2DCC" w:rsidRDefault="001D2D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016C" w14:textId="77777777" w:rsidR="00912EF8" w:rsidRDefault="00912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3F8" w14:textId="77777777" w:rsidR="00912EF8" w:rsidRDefault="00912E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912EF8" w14:paraId="03344A8A" w14:textId="77777777">
      <w:trPr>
        <w:cantSplit/>
        <w:trHeight w:val="390"/>
      </w:trPr>
      <w:tc>
        <w:tcPr>
          <w:tcW w:w="1676" w:type="dxa"/>
          <w:vMerge w:val="restart"/>
        </w:tcPr>
        <w:p w14:paraId="59139289" w14:textId="77777777" w:rsidR="00912EF8" w:rsidRDefault="00033E4E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3AEEABFA" wp14:editId="71485D73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EE96BE8" w14:textId="77777777" w:rsidR="00912EF8" w:rsidRDefault="00033E4E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2908C246" w14:textId="77777777" w:rsidR="00CC6619" w:rsidRDefault="00033E4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DEKAN YARDIMCISI </w:t>
          </w:r>
        </w:p>
        <w:p w14:paraId="3BDD90D4" w14:textId="24A35536" w:rsidR="00912EF8" w:rsidRDefault="00033E4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GÖREV TANIMI</w:t>
          </w:r>
        </w:p>
        <w:p w14:paraId="3E09DDEC" w14:textId="77777777" w:rsidR="00912EF8" w:rsidRDefault="00912EF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1B937676" w14:textId="77777777" w:rsidR="00912EF8" w:rsidRDefault="00033E4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GT02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912EF8" w14:paraId="43C4C503" w14:textId="77777777">
      <w:trPr>
        <w:cantSplit/>
        <w:trHeight w:val="390"/>
      </w:trPr>
      <w:tc>
        <w:tcPr>
          <w:tcW w:w="1676" w:type="dxa"/>
          <w:vMerge/>
        </w:tcPr>
        <w:p w14:paraId="081C300E" w14:textId="77777777" w:rsidR="00912EF8" w:rsidRDefault="00912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3C6C4B1A" w14:textId="77777777" w:rsidR="00912EF8" w:rsidRDefault="00912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2189EFE4" w14:textId="77777777" w:rsidR="00912EF8" w:rsidRDefault="00033E4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912EF8" w14:paraId="073CB36D" w14:textId="77777777">
      <w:trPr>
        <w:cantSplit/>
        <w:trHeight w:val="390"/>
      </w:trPr>
      <w:tc>
        <w:tcPr>
          <w:tcW w:w="1676" w:type="dxa"/>
          <w:vMerge/>
        </w:tcPr>
        <w:p w14:paraId="6EC6CCFE" w14:textId="77777777" w:rsidR="00912EF8" w:rsidRDefault="00912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5BB3225C" w14:textId="77777777" w:rsidR="00912EF8" w:rsidRDefault="00912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023A0775" w14:textId="77777777" w:rsidR="00912EF8" w:rsidRDefault="00033E4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12.06.2023/01</w:t>
          </w:r>
        </w:p>
      </w:tc>
    </w:tr>
    <w:tr w:rsidR="00912EF8" w14:paraId="508D468E" w14:textId="77777777">
      <w:trPr>
        <w:cantSplit/>
        <w:trHeight w:val="390"/>
      </w:trPr>
      <w:tc>
        <w:tcPr>
          <w:tcW w:w="1676" w:type="dxa"/>
          <w:vMerge/>
        </w:tcPr>
        <w:p w14:paraId="3EBC1E9D" w14:textId="77777777" w:rsidR="00912EF8" w:rsidRDefault="00912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51EF387A" w14:textId="77777777" w:rsidR="00912EF8" w:rsidRDefault="00912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61568DDD" w14:textId="77777777" w:rsidR="00912EF8" w:rsidRDefault="00033E4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CA5AA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CA5AA3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912EF8" w14:paraId="63F1CB37" w14:textId="77777777">
      <w:trPr>
        <w:cantSplit/>
        <w:trHeight w:val="390"/>
      </w:trPr>
      <w:tc>
        <w:tcPr>
          <w:tcW w:w="1676" w:type="dxa"/>
          <w:vAlign w:val="center"/>
        </w:tcPr>
        <w:p w14:paraId="56D8854F" w14:textId="77777777" w:rsidR="00912EF8" w:rsidRDefault="00033E4E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4B7F0BBA" w14:textId="5403D35A" w:rsidR="00912EF8" w:rsidRDefault="00CC6619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4E0DE55B" w14:textId="77777777" w:rsidR="00912EF8" w:rsidRDefault="00912EF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9A7" w14:textId="77777777" w:rsidR="00912EF8" w:rsidRDefault="00912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39C"/>
    <w:multiLevelType w:val="multilevel"/>
    <w:tmpl w:val="2D0A63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BD6C91"/>
    <w:multiLevelType w:val="multilevel"/>
    <w:tmpl w:val="D4FEAB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CE23EB"/>
    <w:multiLevelType w:val="multilevel"/>
    <w:tmpl w:val="634274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F8"/>
    <w:rsid w:val="00033E4E"/>
    <w:rsid w:val="001D2DCC"/>
    <w:rsid w:val="00604D23"/>
    <w:rsid w:val="00767487"/>
    <w:rsid w:val="00912EF8"/>
    <w:rsid w:val="009E3015"/>
    <w:rsid w:val="00CA5AA3"/>
    <w:rsid w:val="00C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A36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m+Fm1xYjgHdDFgXD8Ug0lwSDQ==">CgMxLjA4AHIhMXdIdFdHNzk4X0h4UTlRU3RMTGlMck01c0djdU96eGxS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4</cp:revision>
  <dcterms:created xsi:type="dcterms:W3CDTF">2016-06-23T22:52:00Z</dcterms:created>
  <dcterms:modified xsi:type="dcterms:W3CDTF">2024-06-05T07:03:00Z</dcterms:modified>
</cp:coreProperties>
</file>