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8E77" w14:textId="77777777" w:rsidR="003F29FA" w:rsidRPr="000E033A" w:rsidRDefault="00A65DE1" w:rsidP="000E033A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0E033A">
        <w:rPr>
          <w:b/>
          <w:sz w:val="22"/>
          <w:szCs w:val="22"/>
          <w:lang w:val="tr-TR"/>
        </w:rPr>
        <w:t>Kuruluş A</w:t>
      </w:r>
      <w:r w:rsidR="000D0422" w:rsidRPr="000E033A">
        <w:rPr>
          <w:b/>
          <w:sz w:val="22"/>
          <w:szCs w:val="22"/>
          <w:lang w:val="tr-TR"/>
        </w:rPr>
        <w:t>macı:</w:t>
      </w:r>
    </w:p>
    <w:p w14:paraId="57B46EF4" w14:textId="77777777" w:rsidR="000D0422" w:rsidRPr="000E033A" w:rsidRDefault="000E033A" w:rsidP="003C0CF9">
      <w:pPr>
        <w:numPr>
          <w:ilvl w:val="0"/>
          <w:numId w:val="11"/>
        </w:numPr>
        <w:spacing w:line="360" w:lineRule="auto"/>
        <w:ind w:left="709"/>
        <w:jc w:val="both"/>
        <w:rPr>
          <w:sz w:val="22"/>
          <w:szCs w:val="22"/>
          <w:lang w:val="tr-TR"/>
        </w:rPr>
      </w:pPr>
      <w:r w:rsidRPr="000E033A">
        <w:rPr>
          <w:sz w:val="22"/>
          <w:szCs w:val="22"/>
          <w:lang w:val="tr-TR"/>
        </w:rPr>
        <w:t>Bayburt Üniversitesi Engelli Öğrenci Birim Koordinatörlüğü’nün kuruluş amacı Bayburt Üniversitesi’nde kayıtlı bulunan engelli öğrencilerin; engel durumlarından dolayı ders ve sınav uygulamalarında karşılaştıkları sorunları ortadan kaldırarak gerekli tedbirleri almak ve eğitimde fırsat eşitliği sağlamaktır.</w:t>
      </w:r>
    </w:p>
    <w:p w14:paraId="40116D11" w14:textId="77777777" w:rsidR="00CC3AB3" w:rsidRPr="000E033A" w:rsidRDefault="000D0422" w:rsidP="000E033A">
      <w:pPr>
        <w:shd w:val="clear" w:color="auto" w:fill="CCCCCC"/>
        <w:spacing w:line="360" w:lineRule="auto"/>
        <w:jc w:val="both"/>
        <w:rPr>
          <w:b/>
          <w:sz w:val="22"/>
          <w:szCs w:val="22"/>
          <w:lang w:val="tr-TR"/>
        </w:rPr>
      </w:pPr>
      <w:r w:rsidRPr="000E033A">
        <w:rPr>
          <w:b/>
          <w:sz w:val="22"/>
          <w:szCs w:val="22"/>
          <w:lang w:val="tr-TR"/>
        </w:rPr>
        <w:t>Yapılan İş ve Görevler:</w:t>
      </w:r>
    </w:p>
    <w:p w14:paraId="77920AA0" w14:textId="77777777" w:rsidR="00AA58BA" w:rsidRDefault="00AA58BA" w:rsidP="00AA58BA">
      <w:pPr>
        <w:spacing w:line="360" w:lineRule="auto"/>
        <w:ind w:firstLine="360"/>
        <w:jc w:val="both"/>
        <w:rPr>
          <w:sz w:val="22"/>
          <w:szCs w:val="22"/>
          <w:lang w:val="tr-TR"/>
        </w:rPr>
      </w:pPr>
      <w:r w:rsidRPr="00AA58BA">
        <w:rPr>
          <w:sz w:val="22"/>
          <w:szCs w:val="22"/>
          <w:lang w:val="tr-TR"/>
        </w:rPr>
        <w:t>Engelli öğrenci biriminin görevleri şunlardır;</w:t>
      </w:r>
    </w:p>
    <w:p w14:paraId="38AE9A15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0E033A">
        <w:rPr>
          <w:sz w:val="22"/>
          <w:szCs w:val="22"/>
          <w:lang w:val="tr-TR"/>
        </w:rPr>
        <w:t>Bayburt Üniversitesi programlarına kayıt yaptıran engelli öğrencilerin öğrenimlerini</w:t>
      </w:r>
      <w:r>
        <w:rPr>
          <w:sz w:val="22"/>
          <w:szCs w:val="22"/>
          <w:lang w:val="tr-TR"/>
        </w:rPr>
        <w:t xml:space="preserve"> </w:t>
      </w:r>
      <w:r w:rsidRPr="000E033A">
        <w:rPr>
          <w:sz w:val="22"/>
          <w:szCs w:val="22"/>
          <w:lang w:val="tr-TR"/>
        </w:rPr>
        <w:t>sürdürdükleri sırada doğabilecek ihtiyaçlarını karşılamak, karşılaşabilecekleri engelleri ve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bunlara karşı alınması gereken önlemleri belirlemek ve bu engelleri ortadan kaldırmak için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çözüm önerileri sunmak, gerekli düzenlemeleri yaptırmak,</w:t>
      </w:r>
    </w:p>
    <w:p w14:paraId="1D59D825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t>Engelli öğrencilerin akademik, fiziksel, psikolojik ve sosyal yaşamlarını engellemeyecek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biçimde</w:t>
      </w:r>
      <w:r w:rsidR="00376B71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akademik programlarını sürdürmeleri için, hem devam ettikleri öğretim ortamının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düzenlenmesini sağlamak, hem de özel ders materyallerinin, uygun eğitim, araştırma ve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barınma ortamlarının hazırlanması konusunda kararlar almak,</w:t>
      </w:r>
    </w:p>
    <w:p w14:paraId="1AC5C5FB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t>Yükseköğretim düzeyindeki öğrenci, öğretim elemanı ve idari personele yönelik, engellilik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konusuyla ilgili faaliyetlerde bulunmak, engeli ve engelliyi tanımlamak, bunun getirdiği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mağduriyetleri ve yapılması gerekli düzenlemeleri içeren dokümanlar hazırlamak, bilinç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düzeyini arttırmak, danışmanlık hizmeti vermek, gereken durumlarda hizmet içi eğitim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sağlamak,</w:t>
      </w:r>
    </w:p>
    <w:p w14:paraId="3048ED0D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t>Birimin çalışma programını hazırlamak, yürütmek ve yıllık bütçe tasarısını ve yıllık faaliyet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raporunu hazırlayıp Bayburt Üniversitesi Rektörü’ne sunmak,</w:t>
      </w:r>
    </w:p>
    <w:p w14:paraId="78BACE68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t>Program ve projeler geliştirmek, seminer, konferans ve benzeri faaliyetler düzenlemek,</w:t>
      </w:r>
    </w:p>
    <w:p w14:paraId="318D5EF2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t>Engelli Öğrenci Biriminin görev ve faaliyet alanına giren konularda konunun taraflarına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yönelik yayın ve dokümanların yer aldığı öğrencilerin istek ve sorunlarını dile getirmelerine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olanak sağlayan Üniversite web sitesinin erişilebilir olmasını sağlamak,</w:t>
      </w:r>
    </w:p>
    <w:p w14:paraId="17804ACD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t>Yönetim Kurulu’nun aldığı kararların ve belirlediği stratejilerin uygulanmasını denetlemek,</w:t>
      </w:r>
    </w:p>
    <w:p w14:paraId="2FC248A1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t>Maddi güçlüğü bulunan engelli öğrencilerin öğrenimlerini sürdürmelerine yardımcı olacak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gerekli araç ve gereçleri sağlamak,</w:t>
      </w:r>
    </w:p>
    <w:p w14:paraId="4B691E22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t>Öğrenim görmekte olan diğer öğrencilerle eşit şartlarda, aralarındaki fırsat eşitliğini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bozmadan engelli öğrencilerin sınavla ilgili süre, mekân, materyal, refakatçi ve engelin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doğasından kaynaklanan farklılıklar konusunda gerekli tedbirleri alıp, düzenlemeler yapmak,</w:t>
      </w:r>
    </w:p>
    <w:p w14:paraId="1AB5C96F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lastRenderedPageBreak/>
        <w:t>Topluma Hizmet Uygulamaları dersini alan öğrencilerin engelli öğrencilere yardımcı olmak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amacı ile Engelli Öğrenci Birimi’nde uygulama yapmasını sağlamak,</w:t>
      </w:r>
    </w:p>
    <w:p w14:paraId="4AFD5AF3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t>İstihdam olanakları ve mekânlara ilişkin konularda engelli öğrencilere bilgi vermek,</w:t>
      </w:r>
    </w:p>
    <w:p w14:paraId="7496FBE2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t>Engelli öğrencilerin özellikle akademik yönden kendilerini geliştirebilmeleri için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üniversitemizde gerçekleşecek faaliyetlerden faydalanmaları ve öğrenci topluluklarında aktif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görev almalarını teşvik etmek,</w:t>
      </w:r>
    </w:p>
    <w:p w14:paraId="5F4A049C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t>Rektörlüğe teslim edilen faaliyet ve değerlendirme raporlarının her yıl Yükseköğretim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Kurulu Başkanlığı’na bildirilmesini takip etmek,</w:t>
      </w:r>
    </w:p>
    <w:p w14:paraId="359FCA16" w14:textId="77777777" w:rsidR="00541D4C" w:rsidRDefault="000E033A" w:rsidP="000E033A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t>Engelli Öğrencinin eğitim hayatına tam katılımını sağlamak amacıyla üniversite genelinde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eğitim ve fiziki erişebilirliği sağlamak için ilgili birimlerle (ilgili Akademik Birim ve Yapı İşleri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ve Teknik Daire Başkanlığı) gerekli tespitleri yapmak ve alt yapı çalışmalarını takip etmek,</w:t>
      </w:r>
    </w:p>
    <w:p w14:paraId="4E1879AB" w14:textId="77777777" w:rsidR="000D0422" w:rsidRPr="00541D4C" w:rsidRDefault="000E033A" w:rsidP="00541D4C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  <w:lang w:val="tr-TR"/>
        </w:rPr>
      </w:pPr>
      <w:r w:rsidRPr="00541D4C">
        <w:rPr>
          <w:sz w:val="22"/>
          <w:szCs w:val="22"/>
          <w:lang w:val="tr-TR"/>
        </w:rPr>
        <w:t>Engelli öğrenci birimi tarafından gerçekleştirilen tüm faaliyet ve çalışmaların kayıt altına</w:t>
      </w:r>
      <w:r w:rsidR="00541D4C">
        <w:rPr>
          <w:sz w:val="22"/>
          <w:szCs w:val="22"/>
          <w:lang w:val="tr-TR"/>
        </w:rPr>
        <w:t xml:space="preserve"> </w:t>
      </w:r>
      <w:r w:rsidRPr="00541D4C">
        <w:rPr>
          <w:sz w:val="22"/>
          <w:szCs w:val="22"/>
          <w:lang w:val="tr-TR"/>
        </w:rPr>
        <w:t>alınıp raporlandırılmasını sağlamaktır.</w:t>
      </w:r>
    </w:p>
    <w:sectPr w:rsidR="000D0422" w:rsidRPr="00541D4C" w:rsidSect="00F730D3">
      <w:headerReference w:type="default" r:id="rId7"/>
      <w:footerReference w:type="default" r:id="rId8"/>
      <w:pgSz w:w="11906" w:h="16838"/>
      <w:pgMar w:top="899" w:right="746" w:bottom="1417" w:left="90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A035" w14:textId="77777777" w:rsidR="005D2CA5" w:rsidRDefault="005D2CA5">
      <w:r>
        <w:separator/>
      </w:r>
    </w:p>
  </w:endnote>
  <w:endnote w:type="continuationSeparator" w:id="0">
    <w:p w14:paraId="68FA13E2" w14:textId="77777777" w:rsidR="005D2CA5" w:rsidRDefault="005D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14:paraId="04DBFF77" w14:textId="77777777" w:rsidTr="00623329">
      <w:tblPrEx>
        <w:tblCellMar>
          <w:top w:w="0" w:type="dxa"/>
          <w:bottom w:w="0" w:type="dxa"/>
        </w:tblCellMar>
      </w:tblPrEx>
      <w:trPr>
        <w:trHeight w:val="416"/>
        <w:jc w:val="center"/>
      </w:trPr>
      <w:tc>
        <w:tcPr>
          <w:tcW w:w="3402" w:type="dxa"/>
        </w:tcPr>
        <w:p w14:paraId="0D0BFEE0" w14:textId="77777777" w:rsidR="00E36ADC" w:rsidRPr="00623329" w:rsidRDefault="00E36ADC" w:rsidP="00623329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</w:tc>
      <w:tc>
        <w:tcPr>
          <w:tcW w:w="3402" w:type="dxa"/>
        </w:tcPr>
        <w:p w14:paraId="203D7E1D" w14:textId="77777777"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 xml:space="preserve">KONTROL </w:t>
          </w:r>
          <w:smartTag w:uri="urn:schemas-microsoft-com:office:smarttags" w:element="place">
            <w:smartTag w:uri="urn:schemas-microsoft-com:office:smarttags" w:element="City">
              <w:r w:rsidRPr="00845A7B">
                <w:rPr>
                  <w:bCs w:val="0"/>
                  <w:sz w:val="18"/>
                  <w:szCs w:val="18"/>
                </w:rPr>
                <w:t>EDEN</w:t>
              </w:r>
            </w:smartTag>
          </w:smartTag>
        </w:p>
      </w:tc>
      <w:tc>
        <w:tcPr>
          <w:tcW w:w="3402" w:type="dxa"/>
        </w:tcPr>
        <w:p w14:paraId="721BF4DA" w14:textId="77777777"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14:paraId="358D32A0" w14:textId="77777777" w:rsidR="00E36ADC" w:rsidRPr="00845A7B" w:rsidRDefault="00E36ADC" w:rsidP="00056C72">
          <w:pPr>
            <w:spacing w:before="120"/>
            <w:rPr>
              <w:b/>
              <w:bCs w:val="0"/>
              <w:sz w:val="18"/>
              <w:szCs w:val="18"/>
            </w:rPr>
          </w:pPr>
        </w:p>
      </w:tc>
    </w:tr>
  </w:tbl>
  <w:p w14:paraId="06E43BD2" w14:textId="77777777" w:rsidR="00623329" w:rsidRDefault="00623329" w:rsidP="001F1A58">
    <w:pPr>
      <w:rPr>
        <w:color w:val="262626"/>
        <w:sz w:val="18"/>
        <w:szCs w:val="18"/>
      </w:rPr>
    </w:pPr>
  </w:p>
  <w:p w14:paraId="7CD7949E" w14:textId="77777777"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A81F09">
      <w:rPr>
        <w:color w:val="262626"/>
        <w:sz w:val="18"/>
        <w:szCs w:val="18"/>
      </w:rPr>
      <w:t>orm No:F</w:t>
    </w:r>
    <w:r>
      <w:rPr>
        <w:color w:val="262626"/>
        <w:sz w:val="18"/>
        <w:szCs w:val="18"/>
      </w:rPr>
      <w:t>0</w:t>
    </w:r>
    <w:r w:rsidR="00A81F09">
      <w:rPr>
        <w:color w:val="262626"/>
        <w:sz w:val="18"/>
        <w:szCs w:val="18"/>
      </w:rPr>
      <w:t>6</w:t>
    </w:r>
    <w:r w:rsidR="004104BF">
      <w:rPr>
        <w:color w:val="262626"/>
        <w:sz w:val="18"/>
        <w:szCs w:val="18"/>
      </w:rPr>
      <w:t>/ BAY</w:t>
    </w:r>
    <w:r w:rsidR="00741A14">
      <w:rPr>
        <w:color w:val="262626"/>
        <w:sz w:val="18"/>
        <w:szCs w:val="18"/>
      </w:rPr>
      <w:t>Ü</w:t>
    </w:r>
    <w:r w:rsidR="004104BF">
      <w:rPr>
        <w:color w:val="262626"/>
        <w:sz w:val="18"/>
        <w:szCs w:val="18"/>
      </w:rPr>
      <w:t>/</w:t>
    </w:r>
    <w:r>
      <w:rPr>
        <w:color w:val="262626"/>
        <w:sz w:val="18"/>
        <w:szCs w:val="18"/>
      </w:rPr>
      <w:t>00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0D0422">
      <w:rPr>
        <w:sz w:val="18"/>
        <w:szCs w:val="18"/>
      </w:rPr>
      <w:tab/>
    </w:r>
    <w:r w:rsidR="000D0422">
      <w:rPr>
        <w:sz w:val="18"/>
        <w:szCs w:val="18"/>
      </w:rPr>
      <w:tab/>
    </w:r>
    <w:r w:rsidR="000D0422" w:rsidRPr="004A5224">
      <w:rPr>
        <w:sz w:val="18"/>
        <w:szCs w:val="18"/>
      </w:rPr>
      <w:tab/>
    </w:r>
    <w:r w:rsidR="000D0422" w:rsidRPr="004A522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B00F" w14:textId="77777777" w:rsidR="005D2CA5" w:rsidRDefault="005D2CA5">
      <w:r>
        <w:separator/>
      </w:r>
    </w:p>
  </w:footnote>
  <w:footnote w:type="continuationSeparator" w:id="0">
    <w:p w14:paraId="669EC0CE" w14:textId="77777777" w:rsidR="005D2CA5" w:rsidRDefault="005D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0D0422" w:rsidRPr="007D2893" w14:paraId="12DD8B0E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 w:val="restart"/>
        </w:tcPr>
        <w:p w14:paraId="0A6029FB" w14:textId="6FDD16C2" w:rsidR="000D0422" w:rsidRDefault="00F60076" w:rsidP="00A65DE1">
          <w:r w:rsidRPr="00A65DE1">
            <w:rPr>
              <w:noProof/>
              <w:lang w:val="tr-TR"/>
            </w:rPr>
            <w:drawing>
              <wp:inline distT="0" distB="0" distL="0" distR="0" wp14:anchorId="7B5299D6" wp14:editId="14753774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3739C8" w14:textId="77777777" w:rsidR="000D0422" w:rsidRPr="00710C58" w:rsidRDefault="00A65DE1" w:rsidP="00741A1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</w:t>
          </w:r>
          <w:r w:rsidR="00623329">
            <w:rPr>
              <w:b/>
              <w:sz w:val="28"/>
              <w:szCs w:val="28"/>
            </w:rPr>
            <w:t>AY</w:t>
          </w:r>
          <w:r w:rsidR="00741A14">
            <w:rPr>
              <w:b/>
              <w:sz w:val="28"/>
              <w:szCs w:val="28"/>
            </w:rPr>
            <w:t>Ü</w:t>
          </w:r>
        </w:p>
      </w:tc>
      <w:tc>
        <w:tcPr>
          <w:tcW w:w="5580" w:type="dxa"/>
          <w:vMerge w:val="restart"/>
          <w:vAlign w:val="center"/>
        </w:tcPr>
        <w:p w14:paraId="2FB07EF4" w14:textId="77777777" w:rsidR="000D0422" w:rsidRPr="007A0504" w:rsidRDefault="007A0504" w:rsidP="00056C72">
          <w:pPr>
            <w:pStyle w:val="Balk2"/>
            <w:spacing w:before="60"/>
            <w:rPr>
              <w:rFonts w:ascii="Arial" w:hAnsi="Arial" w:cs="Arial"/>
              <w:lang w:val="tr-TR"/>
            </w:rPr>
          </w:pPr>
          <w:r w:rsidRPr="00056C72">
            <w:rPr>
              <w:rFonts w:ascii="Arial" w:hAnsi="Arial" w:cs="Arial"/>
            </w:rPr>
            <w:t>İŞ TANIMI</w:t>
          </w:r>
          <w:r>
            <w:rPr>
              <w:rFonts w:ascii="Arial" w:hAnsi="Arial" w:cs="Arial"/>
            </w:rPr>
            <w:t xml:space="preserve"> </w:t>
          </w:r>
          <w:r w:rsidRPr="007A0504">
            <w:rPr>
              <w:rFonts w:ascii="Arial" w:hAnsi="Arial" w:cs="Arial"/>
              <w:color w:val="808080"/>
            </w:rPr>
            <w:t>FORMU</w:t>
          </w:r>
        </w:p>
      </w:tc>
      <w:tc>
        <w:tcPr>
          <w:tcW w:w="3131" w:type="dxa"/>
          <w:vAlign w:val="center"/>
        </w:tcPr>
        <w:p w14:paraId="2103338E" w14:textId="77777777" w:rsidR="000D0422" w:rsidRPr="007D2893" w:rsidRDefault="000D0422" w:rsidP="001E7FF6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Kod No: </w:t>
          </w:r>
          <w:r w:rsidR="00056C72">
            <w:rPr>
              <w:sz w:val="18"/>
              <w:szCs w:val="18"/>
              <w:lang w:val="de-DE"/>
            </w:rPr>
            <w:t>İT</w:t>
          </w:r>
          <w:r>
            <w:rPr>
              <w:sz w:val="18"/>
              <w:szCs w:val="18"/>
              <w:lang w:val="de-DE"/>
            </w:rPr>
            <w:t>…</w:t>
          </w:r>
          <w:r w:rsidRPr="007D2893">
            <w:rPr>
              <w:sz w:val="18"/>
              <w:szCs w:val="18"/>
              <w:lang w:val="de-DE"/>
            </w:rPr>
            <w:t>/</w:t>
          </w:r>
          <w:r>
            <w:rPr>
              <w:sz w:val="18"/>
              <w:szCs w:val="18"/>
              <w:lang w:val="de-DE"/>
            </w:rPr>
            <w:t xml:space="preserve"> ..</w:t>
          </w:r>
          <w:r w:rsidR="00056C72">
            <w:rPr>
              <w:sz w:val="18"/>
              <w:szCs w:val="18"/>
              <w:lang w:val="de-DE"/>
            </w:rPr>
            <w:t>.</w:t>
          </w:r>
          <w:r>
            <w:rPr>
              <w:sz w:val="18"/>
              <w:szCs w:val="18"/>
              <w:lang w:val="de-DE"/>
            </w:rPr>
            <w:t>.</w:t>
          </w:r>
        </w:p>
      </w:tc>
    </w:tr>
    <w:tr w:rsidR="000D0422" w:rsidRPr="007D2893" w14:paraId="0BE4E20B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582C61F7" w14:textId="77777777" w:rsidR="000D0422" w:rsidRPr="007D2893" w:rsidRDefault="000D0422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39B71E51" w14:textId="77777777" w:rsidR="000D0422" w:rsidRPr="007D2893" w:rsidRDefault="000D042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4112DE3F" w14:textId="5DCF8AA4" w:rsidR="000D0422" w:rsidRPr="007D2893" w:rsidRDefault="000D0422" w:rsidP="001E7FF6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 xml:space="preserve">Yayın Tarihi: </w:t>
          </w:r>
          <w:r w:rsidR="000E033A">
            <w:rPr>
              <w:sz w:val="18"/>
              <w:szCs w:val="18"/>
              <w:lang w:val="de-DE"/>
            </w:rPr>
            <w:t>1</w:t>
          </w:r>
          <w:r w:rsidR="003C0CF9">
            <w:rPr>
              <w:sz w:val="18"/>
              <w:szCs w:val="18"/>
              <w:lang w:val="de-DE"/>
            </w:rPr>
            <w:t>9</w:t>
          </w:r>
          <w:r>
            <w:rPr>
              <w:sz w:val="18"/>
              <w:szCs w:val="18"/>
              <w:lang w:val="de-DE"/>
            </w:rPr>
            <w:t>.</w:t>
          </w:r>
          <w:r w:rsidR="00056C72">
            <w:rPr>
              <w:sz w:val="18"/>
              <w:szCs w:val="18"/>
              <w:lang w:val="de-DE"/>
            </w:rPr>
            <w:t>0</w:t>
          </w:r>
          <w:r w:rsidR="000E033A">
            <w:rPr>
              <w:sz w:val="18"/>
              <w:szCs w:val="18"/>
              <w:lang w:val="de-DE"/>
            </w:rPr>
            <w:t>7</w:t>
          </w:r>
          <w:r>
            <w:rPr>
              <w:sz w:val="18"/>
              <w:szCs w:val="18"/>
              <w:lang w:val="de-DE"/>
            </w:rPr>
            <w:t>.</w:t>
          </w:r>
          <w:r w:rsidR="000E033A">
            <w:rPr>
              <w:sz w:val="18"/>
              <w:szCs w:val="18"/>
              <w:lang w:val="de-DE"/>
            </w:rPr>
            <w:t>2</w:t>
          </w:r>
          <w:r w:rsidR="00056C72">
            <w:rPr>
              <w:sz w:val="18"/>
              <w:szCs w:val="18"/>
              <w:lang w:val="de-DE"/>
            </w:rPr>
            <w:t>0</w:t>
          </w:r>
          <w:r w:rsidR="000E033A">
            <w:rPr>
              <w:sz w:val="18"/>
              <w:szCs w:val="18"/>
              <w:lang w:val="de-DE"/>
            </w:rPr>
            <w:t>23</w:t>
          </w:r>
        </w:p>
      </w:tc>
    </w:tr>
    <w:tr w:rsidR="000D0422" w:rsidRPr="007D2893" w14:paraId="4432C83A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66C07A97" w14:textId="77777777" w:rsidR="000D0422" w:rsidRPr="007D2893" w:rsidRDefault="000D0422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012BCE59" w14:textId="77777777" w:rsidR="000D0422" w:rsidRPr="007D2893" w:rsidRDefault="000D042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0897D77F" w14:textId="77777777" w:rsidR="000D0422" w:rsidRPr="007D2893" w:rsidRDefault="000D0422" w:rsidP="001E7FF6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>Revizyon Tarihi/</w:t>
          </w:r>
          <w:r>
            <w:rPr>
              <w:sz w:val="18"/>
              <w:szCs w:val="18"/>
              <w:lang w:val="de-DE"/>
            </w:rPr>
            <w:t xml:space="preserve"> </w:t>
          </w:r>
          <w:r w:rsidRPr="007D2893">
            <w:rPr>
              <w:sz w:val="18"/>
              <w:szCs w:val="18"/>
              <w:lang w:val="de-DE"/>
            </w:rPr>
            <w:t>No:</w:t>
          </w:r>
          <w:r>
            <w:rPr>
              <w:sz w:val="18"/>
              <w:szCs w:val="18"/>
              <w:lang w:val="de-DE"/>
            </w:rPr>
            <w:t xml:space="preserve"> </w:t>
          </w:r>
          <w:r w:rsidR="00B33D2F">
            <w:rPr>
              <w:sz w:val="18"/>
              <w:szCs w:val="18"/>
              <w:lang w:val="de-DE"/>
            </w:rPr>
            <w:t>00</w:t>
          </w:r>
          <w:r w:rsidRPr="007D2893">
            <w:rPr>
              <w:sz w:val="18"/>
              <w:szCs w:val="18"/>
              <w:lang w:val="de-DE"/>
            </w:rPr>
            <w:t xml:space="preserve">/ </w:t>
          </w:r>
          <w:r w:rsidR="00056C72">
            <w:rPr>
              <w:sz w:val="18"/>
              <w:szCs w:val="18"/>
              <w:lang w:val="de-DE"/>
            </w:rPr>
            <w:t>00</w:t>
          </w:r>
        </w:p>
      </w:tc>
    </w:tr>
    <w:tr w:rsidR="000D0422" w:rsidRPr="007D2893" w14:paraId="26CC0B35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Merge/>
        </w:tcPr>
        <w:p w14:paraId="6B383B09" w14:textId="77777777" w:rsidR="000D0422" w:rsidRPr="007D2893" w:rsidRDefault="000D0422">
          <w:pPr>
            <w:rPr>
              <w:lang w:val="de-DE"/>
            </w:rPr>
          </w:pPr>
        </w:p>
      </w:tc>
      <w:tc>
        <w:tcPr>
          <w:tcW w:w="5580" w:type="dxa"/>
          <w:vMerge/>
        </w:tcPr>
        <w:p w14:paraId="673DC83F" w14:textId="77777777" w:rsidR="000D0422" w:rsidRPr="007D2893" w:rsidRDefault="000D042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14:paraId="4837FC04" w14:textId="77777777" w:rsidR="000D0422" w:rsidRPr="007D2893" w:rsidRDefault="000D0422" w:rsidP="001E7FF6">
          <w:pPr>
            <w:rPr>
              <w:sz w:val="18"/>
              <w:szCs w:val="18"/>
              <w:lang w:val="de-DE"/>
            </w:rPr>
          </w:pPr>
          <w:r w:rsidRPr="007D2893">
            <w:rPr>
              <w:sz w:val="18"/>
              <w:szCs w:val="18"/>
              <w:lang w:val="de-DE"/>
            </w:rPr>
            <w:t>Sayfa No</w:t>
          </w:r>
          <w:r w:rsidRPr="00710C58">
            <w:rPr>
              <w:sz w:val="18"/>
              <w:szCs w:val="18"/>
              <w:lang w:val="de-DE"/>
            </w:rPr>
            <w:t xml:space="preserve">: 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PAGE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 w:rsidR="00741A14"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  <w:r w:rsidRPr="00710C58">
            <w:rPr>
              <w:sz w:val="18"/>
              <w:szCs w:val="18"/>
              <w:lang w:val="de-DE"/>
            </w:rPr>
            <w:t>/</w:t>
          </w:r>
          <w:r w:rsidRPr="00710C58">
            <w:rPr>
              <w:rStyle w:val="SayfaNumaras"/>
              <w:sz w:val="18"/>
              <w:szCs w:val="18"/>
            </w:rPr>
            <w:fldChar w:fldCharType="begin"/>
          </w:r>
          <w:r w:rsidRPr="00710C58">
            <w:rPr>
              <w:rStyle w:val="SayfaNumaras"/>
              <w:sz w:val="18"/>
              <w:szCs w:val="18"/>
            </w:rPr>
            <w:instrText xml:space="preserve"> NUMPAGES </w:instrText>
          </w:r>
          <w:r w:rsidRPr="00710C58">
            <w:rPr>
              <w:rStyle w:val="SayfaNumaras"/>
              <w:sz w:val="18"/>
              <w:szCs w:val="18"/>
            </w:rPr>
            <w:fldChar w:fldCharType="separate"/>
          </w:r>
          <w:r w:rsidR="00741A14">
            <w:rPr>
              <w:rStyle w:val="SayfaNumaras"/>
              <w:noProof/>
              <w:sz w:val="18"/>
              <w:szCs w:val="18"/>
            </w:rPr>
            <w:t>1</w:t>
          </w:r>
          <w:r w:rsidRPr="00710C58">
            <w:rPr>
              <w:rStyle w:val="SayfaNumaras"/>
              <w:sz w:val="18"/>
              <w:szCs w:val="18"/>
            </w:rPr>
            <w:fldChar w:fldCharType="end"/>
          </w:r>
        </w:p>
      </w:tc>
    </w:tr>
    <w:tr w:rsidR="000D0422" w:rsidRPr="007D2893" w14:paraId="72D2A04D" w14:textId="77777777">
      <w:tblPrEx>
        <w:tblCellMar>
          <w:top w:w="0" w:type="dxa"/>
          <w:bottom w:w="0" w:type="dxa"/>
        </w:tblCellMar>
      </w:tblPrEx>
      <w:trPr>
        <w:cantSplit/>
        <w:trHeight w:val="390"/>
      </w:trPr>
      <w:tc>
        <w:tcPr>
          <w:tcW w:w="1676" w:type="dxa"/>
          <w:vAlign w:val="center"/>
        </w:tcPr>
        <w:p w14:paraId="7CD6BD5A" w14:textId="77777777"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r w:rsidRPr="00F94745"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711" w:type="dxa"/>
          <w:gridSpan w:val="2"/>
          <w:vAlign w:val="center"/>
        </w:tcPr>
        <w:p w14:paraId="552B2260" w14:textId="77777777" w:rsidR="000D0422" w:rsidRPr="00F94745" w:rsidRDefault="000E033A" w:rsidP="00F94745">
          <w:pPr>
            <w:rPr>
              <w:sz w:val="22"/>
              <w:szCs w:val="22"/>
              <w:lang w:val="de-DE"/>
            </w:rPr>
          </w:pPr>
          <w:r w:rsidRPr="000E033A">
            <w:rPr>
              <w:sz w:val="22"/>
              <w:szCs w:val="22"/>
              <w:lang w:val="de-DE"/>
            </w:rPr>
            <w:t>Engelli Öğrenci Birim Koordinatörlüğü</w:t>
          </w:r>
        </w:p>
      </w:tc>
    </w:tr>
  </w:tbl>
  <w:p w14:paraId="155CAB9A" w14:textId="77777777" w:rsidR="000D0422" w:rsidRPr="007D2893" w:rsidRDefault="000D0422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342E5"/>
    <w:multiLevelType w:val="hybridMultilevel"/>
    <w:tmpl w:val="0FEE94B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5D7CEA"/>
    <w:multiLevelType w:val="hybridMultilevel"/>
    <w:tmpl w:val="F74E1E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5"/>
    <w:rsid w:val="00056C72"/>
    <w:rsid w:val="000D0422"/>
    <w:rsid w:val="000D3D8B"/>
    <w:rsid w:val="000E033A"/>
    <w:rsid w:val="000F16D5"/>
    <w:rsid w:val="000F453B"/>
    <w:rsid w:val="001779D1"/>
    <w:rsid w:val="001E7FF6"/>
    <w:rsid w:val="001F1A58"/>
    <w:rsid w:val="00272EF8"/>
    <w:rsid w:val="00281AB5"/>
    <w:rsid w:val="00311B4B"/>
    <w:rsid w:val="003738EC"/>
    <w:rsid w:val="00376B71"/>
    <w:rsid w:val="00396B25"/>
    <w:rsid w:val="0039714E"/>
    <w:rsid w:val="003C0CF9"/>
    <w:rsid w:val="003F29FA"/>
    <w:rsid w:val="004104BF"/>
    <w:rsid w:val="00451F1C"/>
    <w:rsid w:val="004A5224"/>
    <w:rsid w:val="00541D4C"/>
    <w:rsid w:val="005A55DD"/>
    <w:rsid w:val="005D2CA5"/>
    <w:rsid w:val="005E2833"/>
    <w:rsid w:val="00623329"/>
    <w:rsid w:val="006338E1"/>
    <w:rsid w:val="00666FB2"/>
    <w:rsid w:val="00673FDD"/>
    <w:rsid w:val="00692233"/>
    <w:rsid w:val="006C3110"/>
    <w:rsid w:val="006F7ACA"/>
    <w:rsid w:val="00710C58"/>
    <w:rsid w:val="00741A14"/>
    <w:rsid w:val="007440C4"/>
    <w:rsid w:val="007805E0"/>
    <w:rsid w:val="007A0504"/>
    <w:rsid w:val="007C1ED6"/>
    <w:rsid w:val="007C7780"/>
    <w:rsid w:val="007D2893"/>
    <w:rsid w:val="007D4BAA"/>
    <w:rsid w:val="00811688"/>
    <w:rsid w:val="00817032"/>
    <w:rsid w:val="00845A7B"/>
    <w:rsid w:val="00893616"/>
    <w:rsid w:val="008C7287"/>
    <w:rsid w:val="00912269"/>
    <w:rsid w:val="0092055C"/>
    <w:rsid w:val="00927115"/>
    <w:rsid w:val="00994584"/>
    <w:rsid w:val="00A43813"/>
    <w:rsid w:val="00A65DE1"/>
    <w:rsid w:val="00A76112"/>
    <w:rsid w:val="00A76850"/>
    <w:rsid w:val="00A81F09"/>
    <w:rsid w:val="00AA58BA"/>
    <w:rsid w:val="00B22DFB"/>
    <w:rsid w:val="00B33D2F"/>
    <w:rsid w:val="00B376AC"/>
    <w:rsid w:val="00BE5819"/>
    <w:rsid w:val="00CC3AB3"/>
    <w:rsid w:val="00CC40AC"/>
    <w:rsid w:val="00D10DF4"/>
    <w:rsid w:val="00D3083F"/>
    <w:rsid w:val="00D85ADA"/>
    <w:rsid w:val="00DA44B0"/>
    <w:rsid w:val="00E2022E"/>
    <w:rsid w:val="00E36ADC"/>
    <w:rsid w:val="00E82D0F"/>
    <w:rsid w:val="00E849A6"/>
    <w:rsid w:val="00E92E63"/>
    <w:rsid w:val="00EE1B20"/>
    <w:rsid w:val="00EF633B"/>
    <w:rsid w:val="00F55C97"/>
    <w:rsid w:val="00F60076"/>
    <w:rsid w:val="00F627D4"/>
    <w:rsid w:val="00F730D3"/>
    <w:rsid w:val="00F8647E"/>
    <w:rsid w:val="00F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69C6854"/>
  <w15:chartTrackingRefBased/>
  <w15:docId w15:val="{18B36464-F3A2-4099-A91C-699729BA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ABDURRAHMAN OKUYAN</cp:lastModifiedBy>
  <cp:revision>2</cp:revision>
  <cp:lastPrinted>2006-11-27T12:34:00Z</cp:lastPrinted>
  <dcterms:created xsi:type="dcterms:W3CDTF">2023-07-19T13:52:00Z</dcterms:created>
  <dcterms:modified xsi:type="dcterms:W3CDTF">2023-07-19T13:52:00Z</dcterms:modified>
</cp:coreProperties>
</file>